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74F" w:rsidRPr="00DC206D" w:rsidRDefault="0013274F" w:rsidP="0013274F">
      <w:pPr>
        <w:autoSpaceDE w:val="0"/>
        <w:autoSpaceDN w:val="0"/>
        <w:adjustRightInd w:val="0"/>
        <w:spacing w:after="0" w:line="360" w:lineRule="auto"/>
        <w:jc w:val="center"/>
        <w:rPr>
          <w:rFonts w:ascii="Times New Roman" w:hAnsi="Times New Roman" w:cs="Times New Roman"/>
          <w:b/>
          <w:bCs/>
          <w:sz w:val="32"/>
          <w:szCs w:val="32"/>
        </w:rPr>
      </w:pPr>
      <w:r w:rsidRPr="00DC206D">
        <w:rPr>
          <w:rFonts w:ascii="Times New Roman" w:hAnsi="Times New Roman" w:cs="Times New Roman"/>
          <w:b/>
          <w:bCs/>
          <w:sz w:val="32"/>
          <w:szCs w:val="32"/>
        </w:rPr>
        <w:t xml:space="preserve">Multi-target fragment-based design of novel inhibitors for </w:t>
      </w:r>
      <w:proofErr w:type="spellStart"/>
      <w:r w:rsidRPr="00DC206D">
        <w:rPr>
          <w:rFonts w:ascii="Times New Roman" w:hAnsi="Times New Roman" w:cs="Times New Roman"/>
          <w:b/>
          <w:bCs/>
          <w:sz w:val="32"/>
          <w:szCs w:val="32"/>
        </w:rPr>
        <w:t>AChE</w:t>
      </w:r>
      <w:proofErr w:type="spellEnd"/>
      <w:r w:rsidRPr="00DC206D">
        <w:rPr>
          <w:rFonts w:ascii="Times New Roman" w:hAnsi="Times New Roman" w:cs="Times New Roman"/>
          <w:b/>
          <w:bCs/>
          <w:sz w:val="32"/>
          <w:szCs w:val="32"/>
        </w:rPr>
        <w:t xml:space="preserve"> and SSAO/VAP-1 enzymes</w:t>
      </w:r>
    </w:p>
    <w:p w:rsidR="00A833B8" w:rsidRPr="00294CC4" w:rsidRDefault="00A833B8" w:rsidP="00805329">
      <w:pPr>
        <w:pStyle w:val="authors"/>
      </w:pPr>
      <w:r w:rsidRPr="00294CC4">
        <w:t>Author names, underline presenting author</w:t>
      </w:r>
      <w:r w:rsidR="00CD640F">
        <w:t xml:space="preserve">, </w:t>
      </w:r>
      <w:r w:rsidR="00CD640F" w:rsidRPr="00CD640F">
        <w:t>Mark corresponding author's name by a star sign (*)</w:t>
      </w:r>
    </w:p>
    <w:p w:rsidR="009F62C8" w:rsidRDefault="00A833B8" w:rsidP="00D3188E">
      <w:pPr>
        <w:pStyle w:val="address"/>
        <w:rPr>
          <w:sz w:val="18"/>
          <w:szCs w:val="18"/>
          <w:lang w:val="en-US"/>
        </w:rPr>
      </w:pPr>
      <w:proofErr w:type="gramStart"/>
      <w:r w:rsidRPr="005B24D1">
        <w:t>Author’s affiliations.</w:t>
      </w:r>
      <w:proofErr w:type="gramEnd"/>
      <w:r w:rsidRPr="005B24D1">
        <w:t xml:space="preserve"> Use numbering</w:t>
      </w:r>
      <w:r w:rsidRPr="005B24D1">
        <w:rPr>
          <w:lang w:val="en-US"/>
        </w:rPr>
        <w:t xml:space="preserve"> if more than one </w:t>
      </w:r>
      <w:r w:rsidRPr="005B24D1">
        <w:t>affiliation</w:t>
      </w:r>
      <w:r w:rsidRPr="00FC6334">
        <w:rPr>
          <w:sz w:val="18"/>
          <w:szCs w:val="18"/>
          <w:lang w:val="en-US"/>
        </w:rPr>
        <w:t>.</w:t>
      </w:r>
    </w:p>
    <w:p w:rsidR="00C43F91" w:rsidRPr="00D3188E" w:rsidRDefault="00C43F91" w:rsidP="00D3188E">
      <w:pPr>
        <w:pStyle w:val="address"/>
        <w:rPr>
          <w:lang w:val="en-US"/>
        </w:rPr>
      </w:pPr>
    </w:p>
    <w:p w:rsidR="00D3188E" w:rsidRPr="00D3188E" w:rsidRDefault="00D3188E" w:rsidP="00CD640F">
      <w:pPr>
        <w:autoSpaceDE w:val="0"/>
        <w:autoSpaceDN w:val="0"/>
        <w:adjustRightInd w:val="0"/>
        <w:spacing w:after="0" w:line="240" w:lineRule="auto"/>
        <w:jc w:val="center"/>
        <w:rPr>
          <w:rFonts w:ascii="Times New Roman" w:hAnsi="Times New Roman" w:cs="Times New Roman"/>
          <w:sz w:val="20"/>
          <w:szCs w:val="20"/>
        </w:rPr>
      </w:pPr>
      <w:r w:rsidRPr="00D3188E">
        <w:rPr>
          <w:rFonts w:ascii="Times New Roman" w:hAnsi="Times New Roman" w:cs="Times New Roman"/>
          <w:sz w:val="20"/>
          <w:szCs w:val="20"/>
        </w:rPr>
        <w:t>E-mail address</w:t>
      </w:r>
      <w:r w:rsidR="00805329">
        <w:rPr>
          <w:rFonts w:ascii="Times New Roman" w:hAnsi="Times New Roman" w:cs="Times New Roman"/>
          <w:sz w:val="20"/>
          <w:szCs w:val="20"/>
        </w:rPr>
        <w:t xml:space="preserve"> (</w:t>
      </w:r>
      <w:r w:rsidR="00CD640F" w:rsidRPr="00CD640F">
        <w:rPr>
          <w:rFonts w:ascii="Times New Roman" w:hAnsi="Times New Roman" w:cs="Times New Roman"/>
          <w:sz w:val="20"/>
          <w:szCs w:val="20"/>
        </w:rPr>
        <w:t>corresponding author</w:t>
      </w:r>
      <w:r w:rsidR="00805329">
        <w:rPr>
          <w:rFonts w:ascii="Times New Roman" w:hAnsi="Times New Roman" w:cs="Times New Roman"/>
          <w:sz w:val="20"/>
          <w:szCs w:val="20"/>
        </w:rPr>
        <w:t>)</w:t>
      </w:r>
      <w:r w:rsidRPr="00D3188E">
        <w:rPr>
          <w:rFonts w:ascii="Times New Roman" w:hAnsi="Times New Roman" w:cs="Times New Roman"/>
          <w:sz w:val="20"/>
          <w:szCs w:val="20"/>
        </w:rPr>
        <w:t xml:space="preserve">: </w:t>
      </w:r>
      <w:r w:rsidRPr="00D3188E">
        <w:rPr>
          <w:rFonts w:ascii="Times New Roman" w:hAnsi="Times New Roman" w:cs="Times New Roman"/>
          <w:sz w:val="20"/>
          <w:szCs w:val="20"/>
          <w:u w:val="single"/>
        </w:rPr>
        <w:t>author@email.com</w:t>
      </w:r>
      <w:r w:rsidRPr="00D3188E">
        <w:rPr>
          <w:rFonts w:ascii="Times New Roman" w:hAnsi="Times New Roman" w:cs="Times New Roman"/>
          <w:sz w:val="20"/>
          <w:szCs w:val="20"/>
        </w:rPr>
        <w:t xml:space="preserve"> </w:t>
      </w:r>
    </w:p>
    <w:p w:rsidR="009F62C8" w:rsidRPr="00DC206D" w:rsidRDefault="009F62C8" w:rsidP="00A833B8">
      <w:pPr>
        <w:autoSpaceDE w:val="0"/>
        <w:autoSpaceDN w:val="0"/>
        <w:adjustRightInd w:val="0"/>
        <w:spacing w:after="0" w:line="360" w:lineRule="auto"/>
        <w:jc w:val="center"/>
        <w:rPr>
          <w:rFonts w:ascii="Times New Roman" w:hAnsi="Times New Roman" w:cs="Times New Roman"/>
          <w:i/>
          <w:iCs/>
          <w:sz w:val="20"/>
          <w:szCs w:val="20"/>
        </w:rPr>
      </w:pPr>
    </w:p>
    <w:p w:rsidR="00DC206D" w:rsidRDefault="007B395E" w:rsidP="00DC206D">
      <w:pPr>
        <w:autoSpaceDE w:val="0"/>
        <w:autoSpaceDN w:val="0"/>
        <w:adjustRightInd w:val="0"/>
        <w:spacing w:after="0" w:line="360" w:lineRule="auto"/>
        <w:jc w:val="both"/>
        <w:rPr>
          <w:rFonts w:ascii="Times New Roman" w:hAnsi="Times New Roman" w:cs="Times New Roman"/>
          <w:b/>
          <w:bCs/>
          <w:i/>
          <w:iCs/>
          <w:sz w:val="20"/>
          <w:szCs w:val="20"/>
        </w:rPr>
      </w:pPr>
      <w:r w:rsidRPr="00DC206D">
        <w:rPr>
          <w:rFonts w:ascii="Times New Roman" w:hAnsi="Times New Roman" w:cs="Times New Roman"/>
          <w:b/>
          <w:bCs/>
          <w:i/>
          <w:iCs/>
          <w:sz w:val="20"/>
          <w:szCs w:val="20"/>
        </w:rPr>
        <w:t>Abstract</w:t>
      </w:r>
      <w:r w:rsidR="00FD5E2E" w:rsidRPr="00DC206D">
        <w:rPr>
          <w:rFonts w:ascii="Times New Roman" w:hAnsi="Times New Roman" w:cs="Times New Roman"/>
          <w:b/>
          <w:bCs/>
          <w:i/>
          <w:iCs/>
          <w:sz w:val="20"/>
          <w:szCs w:val="20"/>
        </w:rPr>
        <w:t xml:space="preserve"> </w:t>
      </w:r>
      <w:bookmarkStart w:id="0" w:name="_GoBack"/>
      <w:bookmarkEnd w:id="0"/>
    </w:p>
    <w:p w:rsidR="00DC206D" w:rsidRDefault="009F62C8" w:rsidP="00D3188E">
      <w:pPr>
        <w:autoSpaceDE w:val="0"/>
        <w:autoSpaceDN w:val="0"/>
        <w:adjustRightInd w:val="0"/>
        <w:spacing w:after="0" w:line="360" w:lineRule="auto"/>
        <w:jc w:val="both"/>
        <w:rPr>
          <w:rFonts w:ascii="Times New Roman" w:hAnsi="Times New Roman" w:cs="Times New Roman"/>
          <w:bCs/>
          <w:i/>
          <w:iCs/>
          <w:sz w:val="18"/>
          <w:szCs w:val="18"/>
        </w:rPr>
      </w:pPr>
      <w:r w:rsidRPr="00ED4B3C">
        <w:rPr>
          <w:rFonts w:ascii="Times New Roman" w:hAnsi="Times New Roman" w:cs="Times New Roman"/>
          <w:bCs/>
          <w:i/>
          <w:iCs/>
          <w:sz w:val="18"/>
          <w:szCs w:val="18"/>
        </w:rPr>
        <w:t xml:space="preserve">We described the identification of novel multi-target inhibitors of human </w:t>
      </w:r>
      <w:proofErr w:type="spellStart"/>
      <w:r w:rsidRPr="00ED4B3C">
        <w:rPr>
          <w:rFonts w:ascii="Times New Roman" w:hAnsi="Times New Roman" w:cs="Times New Roman"/>
          <w:bCs/>
          <w:i/>
          <w:iCs/>
          <w:sz w:val="18"/>
          <w:szCs w:val="18"/>
        </w:rPr>
        <w:t>semicarbazide</w:t>
      </w:r>
      <w:proofErr w:type="spellEnd"/>
      <w:r w:rsidRPr="00ED4B3C">
        <w:rPr>
          <w:rFonts w:ascii="Times New Roman" w:hAnsi="Times New Roman" w:cs="Times New Roman"/>
          <w:bCs/>
          <w:i/>
          <w:iCs/>
          <w:sz w:val="18"/>
          <w:szCs w:val="18"/>
        </w:rPr>
        <w:t>-sensitive amine oxidase/vascular adhesion protein-1 (SSAO/VAP-1) and acetyl cholinesterase (</w:t>
      </w:r>
      <w:proofErr w:type="spellStart"/>
      <w:r w:rsidRPr="00ED4B3C">
        <w:rPr>
          <w:rFonts w:ascii="Times New Roman" w:hAnsi="Times New Roman" w:cs="Times New Roman"/>
          <w:bCs/>
          <w:i/>
          <w:iCs/>
          <w:sz w:val="18"/>
          <w:szCs w:val="18"/>
        </w:rPr>
        <w:t>AChE</w:t>
      </w:r>
      <w:proofErr w:type="spellEnd"/>
      <w:r w:rsidRPr="00ED4B3C">
        <w:rPr>
          <w:rFonts w:ascii="Times New Roman" w:hAnsi="Times New Roman" w:cs="Times New Roman"/>
          <w:bCs/>
          <w:i/>
          <w:iCs/>
          <w:sz w:val="18"/>
          <w:szCs w:val="18"/>
        </w:rPr>
        <w:t xml:space="preserve">) using fragment-based drug design. The known structurally diverse inhibitors of each protein were deconstructed into small fragments. Each fragment was docked into the active site of both enzymes and they were then sorted based on the scoring function. Eleven fragments were selected from each protein. These fragments were combined and resulted in 121 compounds. The docking poses of these compounds showed that seven compounds interacted in the binding site of both </w:t>
      </w:r>
      <w:proofErr w:type="spellStart"/>
      <w:r w:rsidRPr="00ED4B3C">
        <w:rPr>
          <w:rFonts w:ascii="Times New Roman" w:hAnsi="Times New Roman" w:cs="Times New Roman"/>
          <w:bCs/>
          <w:i/>
          <w:iCs/>
          <w:sz w:val="18"/>
          <w:szCs w:val="18"/>
        </w:rPr>
        <w:t>AChE</w:t>
      </w:r>
      <w:proofErr w:type="spellEnd"/>
      <w:r w:rsidRPr="00ED4B3C">
        <w:rPr>
          <w:rFonts w:ascii="Times New Roman" w:hAnsi="Times New Roman" w:cs="Times New Roman"/>
          <w:bCs/>
          <w:i/>
          <w:iCs/>
          <w:sz w:val="18"/>
          <w:szCs w:val="18"/>
        </w:rPr>
        <w:t xml:space="preserve"> and SSAO/VAP-1 enzymes. </w:t>
      </w:r>
      <w:r w:rsidR="004417B4" w:rsidRPr="00ED4B3C">
        <w:rPr>
          <w:rFonts w:ascii="Times New Roman" w:hAnsi="Times New Roman" w:cs="Times New Roman"/>
          <w:bCs/>
          <w:i/>
          <w:iCs/>
          <w:sz w:val="18"/>
          <w:szCs w:val="18"/>
        </w:rPr>
        <w:t>ADMET properties of these compounds were then calculated. The results showed that four of these inhibitors need to be synthesized for further experimental evaluation.</w:t>
      </w:r>
    </w:p>
    <w:p w:rsidR="00D3188E" w:rsidRPr="00D3188E" w:rsidRDefault="00D3188E" w:rsidP="00D3188E">
      <w:pPr>
        <w:autoSpaceDE w:val="0"/>
        <w:autoSpaceDN w:val="0"/>
        <w:adjustRightInd w:val="0"/>
        <w:spacing w:after="0" w:line="360" w:lineRule="auto"/>
        <w:jc w:val="both"/>
        <w:rPr>
          <w:rFonts w:ascii="Times New Roman" w:hAnsi="Times New Roman" w:cs="Times New Roman"/>
          <w:bCs/>
          <w:i/>
          <w:iCs/>
          <w:sz w:val="18"/>
          <w:szCs w:val="18"/>
        </w:rPr>
      </w:pPr>
    </w:p>
    <w:p w:rsidR="00012ECB" w:rsidRDefault="00D3188E" w:rsidP="00D3188E">
      <w:pPr>
        <w:autoSpaceDE w:val="0"/>
        <w:autoSpaceDN w:val="0"/>
        <w:adjustRightInd w:val="0"/>
        <w:spacing w:after="0" w:line="360" w:lineRule="auto"/>
        <w:jc w:val="both"/>
        <w:rPr>
          <w:rFonts w:ascii="Times New Roman" w:hAnsi="Times New Roman" w:cs="Times New Roman"/>
          <w:sz w:val="20"/>
          <w:szCs w:val="20"/>
        </w:rPr>
      </w:pPr>
      <w:r w:rsidRPr="00D3188E">
        <w:rPr>
          <w:rFonts w:ascii="Times New Roman" w:hAnsi="Times New Roman" w:cs="Times New Roman"/>
          <w:b/>
          <w:bCs/>
          <w:sz w:val="20"/>
          <w:szCs w:val="20"/>
        </w:rPr>
        <w:t xml:space="preserve">Key words: </w:t>
      </w:r>
      <w:r>
        <w:rPr>
          <w:rFonts w:ascii="Times New Roman" w:hAnsi="Times New Roman" w:cs="Times New Roman"/>
          <w:sz w:val="20"/>
          <w:szCs w:val="20"/>
        </w:rPr>
        <w:t>P</w:t>
      </w:r>
      <w:r w:rsidRPr="00D3188E">
        <w:rPr>
          <w:rFonts w:ascii="Times New Roman" w:hAnsi="Times New Roman" w:cs="Times New Roman"/>
          <w:sz w:val="20"/>
          <w:szCs w:val="20"/>
        </w:rPr>
        <w:t>lease provide up to 6 key words. Please try to stick to one line.</w:t>
      </w:r>
    </w:p>
    <w:p w:rsidR="00D3188E" w:rsidRDefault="00D3188E" w:rsidP="00D3188E">
      <w:pPr>
        <w:autoSpaceDE w:val="0"/>
        <w:autoSpaceDN w:val="0"/>
        <w:adjustRightInd w:val="0"/>
        <w:spacing w:after="0" w:line="360" w:lineRule="auto"/>
        <w:jc w:val="both"/>
        <w:rPr>
          <w:rFonts w:ascii="Times New Roman" w:hAnsi="Times New Roman" w:cs="Times New Roman"/>
          <w:b/>
          <w:bCs/>
          <w:sz w:val="20"/>
          <w:szCs w:val="20"/>
        </w:rPr>
      </w:pPr>
    </w:p>
    <w:p w:rsidR="00474412" w:rsidRPr="00DC206D" w:rsidRDefault="00474412" w:rsidP="00FD5E2E">
      <w:pPr>
        <w:autoSpaceDE w:val="0"/>
        <w:autoSpaceDN w:val="0"/>
        <w:adjustRightInd w:val="0"/>
        <w:spacing w:after="0" w:line="360" w:lineRule="auto"/>
        <w:jc w:val="both"/>
        <w:rPr>
          <w:rFonts w:ascii="Times New Roman" w:hAnsi="Times New Roman" w:cs="Times New Roman"/>
          <w:sz w:val="20"/>
          <w:szCs w:val="20"/>
        </w:rPr>
      </w:pPr>
      <w:r w:rsidRPr="00DC206D">
        <w:rPr>
          <w:rFonts w:ascii="Times New Roman" w:hAnsi="Times New Roman" w:cs="Times New Roman"/>
          <w:b/>
          <w:bCs/>
          <w:sz w:val="20"/>
          <w:szCs w:val="20"/>
        </w:rPr>
        <w:t>Introduction</w:t>
      </w:r>
    </w:p>
    <w:p w:rsidR="00ED4B3C" w:rsidRDefault="009F62C8" w:rsidP="00114045">
      <w:pPr>
        <w:autoSpaceDE w:val="0"/>
        <w:autoSpaceDN w:val="0"/>
        <w:adjustRightInd w:val="0"/>
        <w:spacing w:after="0" w:line="360" w:lineRule="auto"/>
        <w:ind w:firstLine="567"/>
        <w:jc w:val="both"/>
        <w:rPr>
          <w:rFonts w:ascii="Times New Roman" w:hAnsi="Times New Roman" w:cs="Times New Roman"/>
          <w:sz w:val="20"/>
          <w:szCs w:val="20"/>
        </w:rPr>
      </w:pPr>
      <w:r w:rsidRPr="00DC206D">
        <w:rPr>
          <w:rFonts w:ascii="Times New Roman" w:hAnsi="Times New Roman" w:cs="Times New Roman"/>
          <w:sz w:val="20"/>
          <w:szCs w:val="20"/>
        </w:rPr>
        <w:t xml:space="preserve">Alzheimer’s disease (AD), the most common form of dementia, is a chronic neurodegenerative disorder which is characterized by progressive cognitive impairment in elderly people [1]. </w:t>
      </w:r>
      <w:r w:rsidRPr="00DC206D">
        <w:rPr>
          <w:rFonts w:ascii="Times New Roman" w:hAnsi="Times New Roman" w:cs="Times New Roman"/>
          <w:bCs/>
          <w:sz w:val="20"/>
          <w:szCs w:val="20"/>
        </w:rPr>
        <w:t xml:space="preserve">In AD increased human </w:t>
      </w:r>
      <w:proofErr w:type="spellStart"/>
      <w:r w:rsidRPr="00DC206D">
        <w:rPr>
          <w:rFonts w:ascii="Times New Roman" w:hAnsi="Times New Roman" w:cs="Times New Roman"/>
          <w:bCs/>
          <w:sz w:val="20"/>
          <w:szCs w:val="20"/>
        </w:rPr>
        <w:t>semicarbazide</w:t>
      </w:r>
      <w:proofErr w:type="spellEnd"/>
      <w:r w:rsidRPr="00DC206D">
        <w:rPr>
          <w:rFonts w:ascii="Times New Roman" w:hAnsi="Times New Roman" w:cs="Times New Roman"/>
          <w:bCs/>
          <w:sz w:val="20"/>
          <w:szCs w:val="20"/>
        </w:rPr>
        <w:t>-sensitive amine oxidase/vascular adhesion protein-1 (SSAO/VAP-1) expression has been found to co-</w:t>
      </w:r>
      <w:proofErr w:type="spellStart"/>
      <w:r w:rsidRPr="00DC206D">
        <w:rPr>
          <w:rFonts w:ascii="Times New Roman" w:hAnsi="Times New Roman" w:cs="Times New Roman"/>
          <w:bCs/>
          <w:sz w:val="20"/>
          <w:szCs w:val="20"/>
        </w:rPr>
        <w:t>localise</w:t>
      </w:r>
      <w:proofErr w:type="spellEnd"/>
      <w:r w:rsidRPr="00DC206D">
        <w:rPr>
          <w:rFonts w:ascii="Times New Roman" w:hAnsi="Times New Roman" w:cs="Times New Roman"/>
          <w:bCs/>
          <w:sz w:val="20"/>
          <w:szCs w:val="20"/>
        </w:rPr>
        <w:t xml:space="preserve"> with abnormal amyloid deposition. In addition, inhibition of </w:t>
      </w:r>
      <w:proofErr w:type="spellStart"/>
      <w:r w:rsidRPr="00DC206D">
        <w:rPr>
          <w:rFonts w:ascii="Times New Roman" w:hAnsi="Times New Roman" w:cs="Times New Roman"/>
          <w:bCs/>
          <w:sz w:val="20"/>
          <w:szCs w:val="20"/>
        </w:rPr>
        <w:t>AChE</w:t>
      </w:r>
      <w:proofErr w:type="spellEnd"/>
      <w:r w:rsidRPr="00DC206D">
        <w:rPr>
          <w:rFonts w:ascii="Times New Roman" w:hAnsi="Times New Roman" w:cs="Times New Roman"/>
          <w:bCs/>
          <w:sz w:val="20"/>
          <w:szCs w:val="20"/>
        </w:rPr>
        <w:t xml:space="preserve"> in AD treatment should allow the lowered levels of </w:t>
      </w:r>
      <w:proofErr w:type="spellStart"/>
      <w:r w:rsidRPr="00DC206D">
        <w:rPr>
          <w:rFonts w:ascii="Times New Roman" w:hAnsi="Times New Roman" w:cs="Times New Roman"/>
          <w:bCs/>
          <w:sz w:val="20"/>
          <w:szCs w:val="20"/>
        </w:rPr>
        <w:t>ACh</w:t>
      </w:r>
      <w:proofErr w:type="spellEnd"/>
      <w:r w:rsidRPr="00DC206D">
        <w:rPr>
          <w:rFonts w:ascii="Times New Roman" w:hAnsi="Times New Roman" w:cs="Times New Roman"/>
          <w:bCs/>
          <w:sz w:val="20"/>
          <w:szCs w:val="20"/>
        </w:rPr>
        <w:t xml:space="preserve"> in the synapses a chance to induce a signal in the downstream nerve.</w:t>
      </w:r>
      <w:r w:rsidR="00474412" w:rsidRPr="00DC206D">
        <w:rPr>
          <w:rFonts w:ascii="Times New Roman" w:hAnsi="Times New Roman" w:cs="Times New Roman"/>
          <w:b/>
          <w:bCs/>
          <w:sz w:val="20"/>
          <w:szCs w:val="20"/>
        </w:rPr>
        <w:t xml:space="preserve"> </w:t>
      </w:r>
      <w:r w:rsidR="0089022F" w:rsidRPr="00DC206D">
        <w:rPr>
          <w:rFonts w:ascii="Times New Roman" w:hAnsi="Times New Roman" w:cs="Times New Roman"/>
          <w:sz w:val="20"/>
          <w:szCs w:val="20"/>
        </w:rPr>
        <w:t xml:space="preserve">The design of novel multi-target inhibitors has been proposed for </w:t>
      </w:r>
      <w:r w:rsidR="00474412" w:rsidRPr="00DC206D">
        <w:rPr>
          <w:rFonts w:ascii="Times New Roman" w:hAnsi="Times New Roman" w:cs="Times New Roman"/>
          <w:sz w:val="20"/>
          <w:szCs w:val="20"/>
        </w:rPr>
        <w:t xml:space="preserve">AD </w:t>
      </w:r>
      <w:r w:rsidR="0089022F" w:rsidRPr="00DC206D">
        <w:rPr>
          <w:rFonts w:ascii="Times New Roman" w:hAnsi="Times New Roman" w:cs="Times New Roman"/>
          <w:sz w:val="20"/>
          <w:szCs w:val="20"/>
        </w:rPr>
        <w:t>[</w:t>
      </w:r>
      <w:r w:rsidR="002A6487" w:rsidRPr="00DC206D">
        <w:rPr>
          <w:rFonts w:ascii="Times New Roman" w:hAnsi="Times New Roman" w:cs="Times New Roman"/>
          <w:sz w:val="20"/>
          <w:szCs w:val="20"/>
        </w:rPr>
        <w:t>2</w:t>
      </w:r>
      <w:r w:rsidR="0089022F" w:rsidRPr="00DC206D">
        <w:rPr>
          <w:rFonts w:ascii="Times New Roman" w:hAnsi="Times New Roman" w:cs="Times New Roman"/>
          <w:sz w:val="20"/>
          <w:szCs w:val="20"/>
        </w:rPr>
        <w:t>]. The multi-target inhibitor approach is based on designing an inhibitor for the multiple targets. Multi-target inhibitors are more appropriate for addressing the complexity of AD and may provide new drugs for controlling the multifactorial nature of AD, stopping its progression [</w:t>
      </w:r>
      <w:r w:rsidR="002A6487" w:rsidRPr="00DC206D">
        <w:rPr>
          <w:rFonts w:ascii="Times New Roman" w:hAnsi="Times New Roman" w:cs="Times New Roman"/>
          <w:sz w:val="20"/>
          <w:szCs w:val="20"/>
        </w:rPr>
        <w:t>3</w:t>
      </w:r>
      <w:r w:rsidR="0089022F" w:rsidRPr="00DC206D">
        <w:rPr>
          <w:rFonts w:ascii="Times New Roman" w:hAnsi="Times New Roman" w:cs="Times New Roman"/>
          <w:sz w:val="20"/>
          <w:szCs w:val="20"/>
        </w:rPr>
        <w:t>].</w:t>
      </w:r>
      <w:r w:rsidR="00DC4DDB" w:rsidRPr="00DC206D">
        <w:rPr>
          <w:rFonts w:ascii="Times New Roman" w:hAnsi="Times New Roman" w:cs="Times New Roman"/>
          <w:sz w:val="20"/>
          <w:szCs w:val="20"/>
        </w:rPr>
        <w:t xml:space="preserve"> Recent years have seen a tremendous increase in the discovery of novel drug technologies. Fragment-based approaches have rapidly become a proven technique to identify such starting points in a variety of research programs.</w:t>
      </w:r>
    </w:p>
    <w:p w:rsidR="00D3188E" w:rsidRDefault="00D3188E" w:rsidP="00114045">
      <w:pPr>
        <w:autoSpaceDE w:val="0"/>
        <w:autoSpaceDN w:val="0"/>
        <w:adjustRightInd w:val="0"/>
        <w:spacing w:after="0" w:line="360" w:lineRule="auto"/>
        <w:ind w:firstLine="567"/>
        <w:jc w:val="both"/>
        <w:rPr>
          <w:rFonts w:ascii="Times New Roman" w:hAnsi="Times New Roman" w:cs="Times New Roman"/>
          <w:sz w:val="20"/>
          <w:szCs w:val="20"/>
        </w:rPr>
      </w:pPr>
    </w:p>
    <w:p w:rsidR="0089022F" w:rsidRPr="00DC206D" w:rsidRDefault="00474412" w:rsidP="00FD5E2E">
      <w:pPr>
        <w:autoSpaceDE w:val="0"/>
        <w:autoSpaceDN w:val="0"/>
        <w:adjustRightInd w:val="0"/>
        <w:spacing w:after="0" w:line="360" w:lineRule="auto"/>
        <w:jc w:val="both"/>
        <w:rPr>
          <w:rFonts w:ascii="Times New Roman" w:hAnsi="Times New Roman" w:cs="Times New Roman"/>
          <w:b/>
          <w:bCs/>
          <w:sz w:val="20"/>
          <w:szCs w:val="20"/>
        </w:rPr>
      </w:pPr>
      <w:r w:rsidRPr="00DC206D">
        <w:rPr>
          <w:rFonts w:ascii="Times New Roman" w:hAnsi="Times New Roman" w:cs="Times New Roman"/>
          <w:b/>
          <w:bCs/>
          <w:sz w:val="20"/>
          <w:szCs w:val="20"/>
        </w:rPr>
        <w:t>Results and discussion</w:t>
      </w:r>
    </w:p>
    <w:p w:rsidR="00DC206D" w:rsidRDefault="0089022F" w:rsidP="00D3188E">
      <w:pPr>
        <w:autoSpaceDE w:val="0"/>
        <w:autoSpaceDN w:val="0"/>
        <w:adjustRightInd w:val="0"/>
        <w:spacing w:after="0" w:line="360" w:lineRule="auto"/>
        <w:ind w:firstLine="567"/>
        <w:jc w:val="both"/>
        <w:rPr>
          <w:rFonts w:ascii="Times New Roman" w:hAnsi="Times New Roman" w:cs="Times New Roman"/>
          <w:sz w:val="20"/>
          <w:szCs w:val="20"/>
        </w:rPr>
      </w:pPr>
      <w:r w:rsidRPr="00DC206D">
        <w:rPr>
          <w:rFonts w:ascii="Times New Roman" w:hAnsi="Times New Roman" w:cs="Times New Roman"/>
          <w:sz w:val="20"/>
          <w:szCs w:val="20"/>
        </w:rPr>
        <w:t xml:space="preserve">The crystal structure of the </w:t>
      </w:r>
      <w:proofErr w:type="spellStart"/>
      <w:r w:rsidRPr="00DC206D">
        <w:rPr>
          <w:rFonts w:ascii="Times New Roman" w:hAnsi="Times New Roman" w:cs="Times New Roman"/>
          <w:sz w:val="20"/>
          <w:szCs w:val="20"/>
        </w:rPr>
        <w:t>AChE</w:t>
      </w:r>
      <w:proofErr w:type="spellEnd"/>
      <w:r w:rsidRPr="00DC206D">
        <w:rPr>
          <w:rFonts w:ascii="Times New Roman" w:hAnsi="Times New Roman" w:cs="Times New Roman"/>
          <w:sz w:val="20"/>
          <w:szCs w:val="20"/>
        </w:rPr>
        <w:t xml:space="preserve"> (PDB code 1B41) and SSAO/VAP-1 (PDB code 2C10) was ta</w:t>
      </w:r>
      <w:r w:rsidR="002A6487" w:rsidRPr="00DC206D">
        <w:rPr>
          <w:rFonts w:ascii="Times New Roman" w:hAnsi="Times New Roman" w:cs="Times New Roman"/>
          <w:sz w:val="20"/>
          <w:szCs w:val="20"/>
        </w:rPr>
        <w:t>ken from the protein data bank</w:t>
      </w:r>
      <w:r w:rsidRPr="00DC206D">
        <w:rPr>
          <w:rFonts w:ascii="Times New Roman" w:hAnsi="Times New Roman" w:cs="Times New Roman"/>
          <w:sz w:val="20"/>
          <w:szCs w:val="20"/>
        </w:rPr>
        <w:t xml:space="preserve">. </w:t>
      </w:r>
      <w:r w:rsidR="008E64CA" w:rsidRPr="00DC206D">
        <w:rPr>
          <w:rFonts w:ascii="Times New Roman" w:hAnsi="Times New Roman" w:cs="Times New Roman"/>
          <w:sz w:val="20"/>
          <w:szCs w:val="20"/>
        </w:rPr>
        <w:t xml:space="preserve">In order to obtain conformation of </w:t>
      </w:r>
      <w:proofErr w:type="spellStart"/>
      <w:r w:rsidR="008E64CA" w:rsidRPr="00DC206D">
        <w:rPr>
          <w:rFonts w:ascii="Times New Roman" w:hAnsi="Times New Roman" w:cs="Times New Roman"/>
          <w:sz w:val="20"/>
          <w:szCs w:val="20"/>
        </w:rPr>
        <w:t>AChE</w:t>
      </w:r>
      <w:proofErr w:type="spellEnd"/>
      <w:r w:rsidR="008E64CA" w:rsidRPr="00DC206D">
        <w:rPr>
          <w:rFonts w:ascii="Times New Roman" w:hAnsi="Times New Roman" w:cs="Times New Roman"/>
          <w:sz w:val="20"/>
          <w:szCs w:val="20"/>
        </w:rPr>
        <w:t xml:space="preserve"> and SSAO/VAP-1 in a water environment, 10 ns MD simulation were performed in a cubic water box.</w:t>
      </w:r>
      <w:r w:rsidR="00D3188E">
        <w:rPr>
          <w:rFonts w:ascii="Times New Roman" w:hAnsi="Times New Roman" w:cs="Times New Roman"/>
          <w:sz w:val="20"/>
          <w:szCs w:val="20"/>
        </w:rPr>
        <w:t xml:space="preserve"> </w:t>
      </w:r>
      <w:r w:rsidR="00474412" w:rsidRPr="00DC206D">
        <w:rPr>
          <w:rFonts w:ascii="Times New Roman" w:hAnsi="Times New Roman" w:cs="Times New Roman"/>
          <w:sz w:val="20"/>
          <w:szCs w:val="20"/>
        </w:rPr>
        <w:t>The known inhibitors of each enzyme from published results were used to generate fragments.</w:t>
      </w:r>
      <w:r w:rsidR="00CF6C72" w:rsidRPr="00DC206D">
        <w:rPr>
          <w:rFonts w:ascii="Times New Roman" w:hAnsi="Times New Roman" w:cs="Times New Roman"/>
          <w:sz w:val="20"/>
          <w:szCs w:val="20"/>
        </w:rPr>
        <w:t xml:space="preserve"> </w:t>
      </w:r>
      <w:r w:rsidRPr="00DC206D">
        <w:rPr>
          <w:rFonts w:ascii="Times New Roman" w:hAnsi="Times New Roman" w:cs="Times New Roman"/>
          <w:sz w:val="20"/>
          <w:szCs w:val="20"/>
        </w:rPr>
        <w:t>Fragments were obtained by dividing the original active inhibitors into two different fragments</w:t>
      </w:r>
      <w:r w:rsidR="008E64CA" w:rsidRPr="00DC206D">
        <w:rPr>
          <w:rFonts w:ascii="Times New Roman" w:hAnsi="Times New Roman" w:cs="Times New Roman"/>
          <w:sz w:val="20"/>
          <w:szCs w:val="20"/>
        </w:rPr>
        <w:t>.</w:t>
      </w:r>
      <w:r w:rsidRPr="00DC206D">
        <w:rPr>
          <w:rFonts w:ascii="Times New Roman" w:hAnsi="Times New Roman" w:cs="Times New Roman"/>
          <w:sz w:val="20"/>
          <w:szCs w:val="20"/>
        </w:rPr>
        <w:t xml:space="preserve"> 185 and 176 fragments were obtained from </w:t>
      </w:r>
      <w:proofErr w:type="spellStart"/>
      <w:r w:rsidRPr="00DC206D">
        <w:rPr>
          <w:rFonts w:ascii="Times New Roman" w:hAnsi="Times New Roman" w:cs="Times New Roman"/>
          <w:sz w:val="20"/>
          <w:szCs w:val="20"/>
        </w:rPr>
        <w:t>AChE</w:t>
      </w:r>
      <w:proofErr w:type="spellEnd"/>
      <w:r w:rsidRPr="00DC206D">
        <w:rPr>
          <w:rFonts w:ascii="Times New Roman" w:hAnsi="Times New Roman" w:cs="Times New Roman"/>
          <w:sz w:val="20"/>
          <w:szCs w:val="20"/>
        </w:rPr>
        <w:t xml:space="preserve"> and SSAO/VAP-1 inhibitors, respectively. Fragments </w:t>
      </w:r>
      <w:r w:rsidRPr="00DC206D">
        <w:rPr>
          <w:rFonts w:ascii="Times New Roman" w:hAnsi="Times New Roman" w:cs="Times New Roman"/>
          <w:sz w:val="20"/>
          <w:szCs w:val="20"/>
        </w:rPr>
        <w:lastRenderedPageBreak/>
        <w:t>were screened based on the docki</w:t>
      </w:r>
      <w:r w:rsidR="008E64CA" w:rsidRPr="00DC206D">
        <w:rPr>
          <w:rFonts w:ascii="Times New Roman" w:hAnsi="Times New Roman" w:cs="Times New Roman"/>
          <w:sz w:val="20"/>
          <w:szCs w:val="20"/>
        </w:rPr>
        <w:t xml:space="preserve">ng studies using </w:t>
      </w:r>
      <w:proofErr w:type="spellStart"/>
      <w:r w:rsidR="008E64CA" w:rsidRPr="00DC206D">
        <w:rPr>
          <w:rFonts w:ascii="Times New Roman" w:hAnsi="Times New Roman" w:cs="Times New Roman"/>
          <w:sz w:val="20"/>
          <w:szCs w:val="20"/>
        </w:rPr>
        <w:t>AutoDock</w:t>
      </w:r>
      <w:proofErr w:type="spellEnd"/>
      <w:r w:rsidR="008E64CA" w:rsidRPr="00DC206D">
        <w:rPr>
          <w:rFonts w:ascii="Times New Roman" w:hAnsi="Times New Roman" w:cs="Times New Roman"/>
          <w:sz w:val="20"/>
          <w:szCs w:val="20"/>
        </w:rPr>
        <w:t xml:space="preserve"> </w:t>
      </w:r>
      <w:proofErr w:type="spellStart"/>
      <w:r w:rsidR="008E64CA" w:rsidRPr="00DC206D">
        <w:rPr>
          <w:rFonts w:ascii="Times New Roman" w:hAnsi="Times New Roman" w:cs="Times New Roman"/>
          <w:sz w:val="20"/>
          <w:szCs w:val="20"/>
        </w:rPr>
        <w:t>Vina</w:t>
      </w:r>
      <w:proofErr w:type="spellEnd"/>
      <w:r w:rsidRPr="00DC206D">
        <w:rPr>
          <w:rFonts w:ascii="Times New Roman" w:hAnsi="Times New Roman" w:cs="Times New Roman"/>
          <w:sz w:val="20"/>
          <w:szCs w:val="20"/>
        </w:rPr>
        <w:t xml:space="preserve">. </w:t>
      </w:r>
      <w:r w:rsidR="00DC50F4" w:rsidRPr="00DC206D">
        <w:rPr>
          <w:rFonts w:ascii="Times New Roman" w:hAnsi="Times New Roman" w:cs="Times New Roman"/>
          <w:sz w:val="20"/>
          <w:szCs w:val="20"/>
        </w:rPr>
        <w:t>Based on the protein-fragment affinity, the fragments that show the low free energy of binding with the two target proteins are selected as the active fragments. The new inhibitors were constructed by linking the active fragments. In this way,</w:t>
      </w:r>
      <w:r w:rsidR="00CF6C72" w:rsidRPr="00DC206D">
        <w:rPr>
          <w:rFonts w:ascii="Times New Roman" w:hAnsi="Times New Roman" w:cs="Times New Roman"/>
          <w:sz w:val="20"/>
          <w:szCs w:val="20"/>
        </w:rPr>
        <w:t xml:space="preserve"> </w:t>
      </w:r>
      <w:r w:rsidR="00DC50F4" w:rsidRPr="00DC206D">
        <w:rPr>
          <w:rFonts w:ascii="Times New Roman" w:hAnsi="Times New Roman" w:cs="Times New Roman"/>
          <w:sz w:val="20"/>
          <w:szCs w:val="20"/>
        </w:rPr>
        <w:t>121 new molecules were designed.</w:t>
      </w:r>
    </w:p>
    <w:p w:rsidR="00C43F91" w:rsidRDefault="00C43F91" w:rsidP="00D3188E">
      <w:pPr>
        <w:autoSpaceDE w:val="0"/>
        <w:autoSpaceDN w:val="0"/>
        <w:adjustRightInd w:val="0"/>
        <w:spacing w:after="0" w:line="360" w:lineRule="auto"/>
        <w:ind w:firstLine="567"/>
        <w:jc w:val="both"/>
        <w:rPr>
          <w:rFonts w:ascii="Times New Roman" w:hAnsi="Times New Roman" w:cs="Times New Roman"/>
          <w:sz w:val="20"/>
          <w:szCs w:val="20"/>
        </w:rPr>
      </w:pPr>
    </w:p>
    <w:p w:rsidR="00DC206D" w:rsidRPr="00D3188E" w:rsidRDefault="00DC206D" w:rsidP="00DC206D">
      <w:pPr>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012ECB">
        <w:rPr>
          <w:rFonts w:ascii="Times New Roman" w:hAnsi="Times New Roman" w:cs="Times New Roman"/>
          <w:b/>
          <w:bCs/>
          <w:color w:val="000000"/>
          <w:sz w:val="16"/>
          <w:szCs w:val="16"/>
        </w:rPr>
        <w:t>Table 1.</w:t>
      </w:r>
      <w:proofErr w:type="gramEnd"/>
      <w:r w:rsidRPr="00DC206D">
        <w:rPr>
          <w:rFonts w:ascii="Times New Roman" w:hAnsi="Times New Roman" w:cs="Times New Roman"/>
          <w:color w:val="000000"/>
          <w:sz w:val="16"/>
          <w:szCs w:val="16"/>
        </w:rPr>
        <w:t xml:space="preserve"> </w:t>
      </w:r>
      <w:r w:rsidRPr="00D3188E">
        <w:rPr>
          <w:rFonts w:ascii="Times New Roman" w:eastAsia="Times New Roman" w:hAnsi="Times New Roman" w:cs="Times New Roman"/>
          <w:sz w:val="20"/>
          <w:szCs w:val="20"/>
        </w:rPr>
        <w:t>Lipinski's</w:t>
      </w:r>
      <w:r w:rsidRPr="00D3188E">
        <w:rPr>
          <w:rFonts w:ascii="Times New Roman" w:hAnsi="Times New Roman" w:cs="Times New Roman"/>
          <w:color w:val="000000"/>
          <w:sz w:val="20"/>
          <w:szCs w:val="20"/>
        </w:rPr>
        <w:t xml:space="preserve"> parameters</w:t>
      </w:r>
      <w:r w:rsidRPr="00D3188E">
        <w:rPr>
          <w:rFonts w:ascii="Times New Roman" w:hAnsi="Times New Roman" w:cs="Times New Roman"/>
          <w:color w:val="000066"/>
          <w:sz w:val="20"/>
          <w:szCs w:val="20"/>
        </w:rPr>
        <w:t xml:space="preserve"> </w:t>
      </w:r>
      <w:r w:rsidRPr="00D3188E">
        <w:rPr>
          <w:rFonts w:ascii="Times New Roman" w:hAnsi="Times New Roman" w:cs="Times New Roman"/>
          <w:sz w:val="20"/>
          <w:szCs w:val="20"/>
        </w:rPr>
        <w:t xml:space="preserve">of the proposed inhibitors </w:t>
      </w:r>
    </w:p>
    <w:tbl>
      <w:tblPr>
        <w:bidiVisual/>
        <w:tblW w:w="0" w:type="auto"/>
        <w:jc w:val="center"/>
        <w:tblLook w:val="04A0" w:firstRow="1" w:lastRow="0" w:firstColumn="1" w:lastColumn="0" w:noHBand="0" w:noVBand="1"/>
      </w:tblPr>
      <w:tblGrid>
        <w:gridCol w:w="950"/>
        <w:gridCol w:w="1430"/>
        <w:gridCol w:w="1172"/>
        <w:gridCol w:w="820"/>
        <w:gridCol w:w="2067"/>
        <w:gridCol w:w="2213"/>
        <w:gridCol w:w="667"/>
      </w:tblGrid>
      <w:tr w:rsidR="00DC206D" w:rsidRPr="00DC206D" w:rsidTr="00D3188E">
        <w:trPr>
          <w:trHeight w:val="496"/>
          <w:jc w:val="center"/>
        </w:trPr>
        <w:tc>
          <w:tcPr>
            <w:tcW w:w="950"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lang w:bidi="fa-IR"/>
              </w:rPr>
            </w:pPr>
            <w:r w:rsidRPr="00D3188E">
              <w:rPr>
                <w:rFonts w:ascii="Times New Roman" w:hAnsi="Times New Roman" w:cs="Times New Roman"/>
                <w:color w:val="000000"/>
                <w:sz w:val="20"/>
                <w:szCs w:val="20"/>
                <w:lang w:bidi="fa-IR"/>
              </w:rPr>
              <w:t>MW</w:t>
            </w:r>
          </w:p>
        </w:tc>
        <w:tc>
          <w:tcPr>
            <w:tcW w:w="1430"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lang w:bidi="fa-IR"/>
              </w:rPr>
            </w:pPr>
            <w:proofErr w:type="spellStart"/>
            <w:r w:rsidRPr="00D3188E">
              <w:rPr>
                <w:rFonts w:ascii="Times New Roman" w:hAnsi="Times New Roman" w:cs="Times New Roman"/>
                <w:color w:val="000000"/>
                <w:sz w:val="20"/>
                <w:szCs w:val="20"/>
                <w:lang w:bidi="fa-IR"/>
              </w:rPr>
              <w:t>LogP</w:t>
            </w:r>
            <w:proofErr w:type="spellEnd"/>
          </w:p>
        </w:tc>
        <w:tc>
          <w:tcPr>
            <w:tcW w:w="1172"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rtl/>
                <w:lang w:bidi="fa-IR"/>
              </w:rPr>
            </w:pPr>
            <w:r w:rsidRPr="00D3188E">
              <w:rPr>
                <w:rFonts w:ascii="Times New Roman" w:hAnsi="Times New Roman" w:cs="Times New Roman"/>
                <w:color w:val="000000"/>
                <w:sz w:val="20"/>
                <w:szCs w:val="20"/>
                <w:lang w:bidi="fa-IR"/>
              </w:rPr>
              <w:t>Refractivity</w:t>
            </w:r>
          </w:p>
        </w:tc>
        <w:tc>
          <w:tcPr>
            <w:tcW w:w="820"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rtl/>
                <w:lang w:bidi="fa-IR"/>
              </w:rPr>
            </w:pPr>
            <w:r w:rsidRPr="00D3188E">
              <w:rPr>
                <w:rFonts w:ascii="Times New Roman" w:hAnsi="Times New Roman" w:cs="Times New Roman"/>
                <w:color w:val="000000"/>
                <w:sz w:val="20"/>
                <w:szCs w:val="20"/>
                <w:lang w:bidi="fa-IR"/>
              </w:rPr>
              <w:t>TPSA</w:t>
            </w:r>
          </w:p>
        </w:tc>
        <w:tc>
          <w:tcPr>
            <w:tcW w:w="2067"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rtl/>
                <w:lang w:bidi="fa-IR"/>
              </w:rPr>
            </w:pPr>
            <w:r w:rsidRPr="00D3188E">
              <w:rPr>
                <w:rFonts w:ascii="Times New Roman" w:hAnsi="Times New Roman" w:cs="Times New Roman"/>
                <w:color w:val="000000"/>
                <w:sz w:val="20"/>
                <w:szCs w:val="20"/>
                <w:lang w:bidi="fa-IR"/>
              </w:rPr>
              <w:t>Hydrogen bond donor</w:t>
            </w:r>
          </w:p>
        </w:tc>
        <w:tc>
          <w:tcPr>
            <w:tcW w:w="2213" w:type="dxa"/>
            <w:tcBorders>
              <w:top w:val="single" w:sz="4" w:space="0" w:color="auto"/>
            </w:tcBorders>
          </w:tcPr>
          <w:p w:rsidR="00DC206D" w:rsidRPr="00D3188E" w:rsidRDefault="00D3188E" w:rsidP="00720143">
            <w:pPr>
              <w:bidi/>
              <w:spacing w:line="240" w:lineRule="auto"/>
              <w:jc w:val="center"/>
              <w:rPr>
                <w:rFonts w:ascii="Times New Roman" w:hAnsi="Times New Roman" w:cs="Times New Roman"/>
                <w:color w:val="000000"/>
                <w:sz w:val="20"/>
                <w:szCs w:val="20"/>
                <w:rtl/>
                <w:lang w:bidi="fa-IR"/>
              </w:rPr>
            </w:pPr>
            <w:r>
              <w:rPr>
                <w:rFonts w:ascii="Times New Roman" w:hAnsi="Times New Roman" w:cs="Times New Roman"/>
                <w:color w:val="000000"/>
                <w:sz w:val="20"/>
                <w:szCs w:val="20"/>
                <w:lang w:bidi="fa-IR"/>
              </w:rPr>
              <w:t>Hydrogen bond acceptor</w:t>
            </w:r>
          </w:p>
        </w:tc>
        <w:tc>
          <w:tcPr>
            <w:tcW w:w="667" w:type="dxa"/>
            <w:tcBorders>
              <w:top w:val="single" w:sz="4" w:space="0" w:color="auto"/>
            </w:tcBorders>
          </w:tcPr>
          <w:p w:rsidR="00DC206D" w:rsidRPr="00D3188E" w:rsidRDefault="00DC206D" w:rsidP="00720143">
            <w:pPr>
              <w:bidi/>
              <w:spacing w:line="240" w:lineRule="auto"/>
              <w:jc w:val="center"/>
              <w:rPr>
                <w:rFonts w:ascii="Times New Roman" w:hAnsi="Times New Roman" w:cs="Times New Roman"/>
                <w:color w:val="000000"/>
                <w:sz w:val="20"/>
                <w:szCs w:val="20"/>
                <w:rtl/>
                <w:lang w:bidi="fa-IR"/>
              </w:rPr>
            </w:pPr>
            <w:r w:rsidRPr="00D3188E">
              <w:rPr>
                <w:rFonts w:ascii="Times New Roman" w:hAnsi="Times New Roman" w:cs="Times New Roman"/>
                <w:color w:val="000000"/>
                <w:sz w:val="20"/>
                <w:szCs w:val="20"/>
                <w:lang w:bidi="fa-IR"/>
              </w:rPr>
              <w:t>No.</w:t>
            </w:r>
          </w:p>
        </w:tc>
      </w:tr>
      <w:tr w:rsidR="00DC206D" w:rsidRPr="00DC206D" w:rsidTr="00D3188E">
        <w:trPr>
          <w:jc w:val="center"/>
        </w:trPr>
        <w:tc>
          <w:tcPr>
            <w:tcW w:w="950"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505.62</w:t>
            </w:r>
          </w:p>
        </w:tc>
        <w:tc>
          <w:tcPr>
            <w:tcW w:w="1430"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3.823</w:t>
            </w:r>
          </w:p>
        </w:tc>
        <w:tc>
          <w:tcPr>
            <w:tcW w:w="1172"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136.146</w:t>
            </w:r>
          </w:p>
        </w:tc>
        <w:tc>
          <w:tcPr>
            <w:tcW w:w="820"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63.69</w:t>
            </w:r>
          </w:p>
        </w:tc>
        <w:tc>
          <w:tcPr>
            <w:tcW w:w="2067"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w:t>
            </w:r>
          </w:p>
        </w:tc>
        <w:tc>
          <w:tcPr>
            <w:tcW w:w="2213"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6</w:t>
            </w:r>
          </w:p>
        </w:tc>
        <w:tc>
          <w:tcPr>
            <w:tcW w:w="667" w:type="dxa"/>
            <w:tcBorders>
              <w:top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4</w:t>
            </w:r>
          </w:p>
        </w:tc>
      </w:tr>
      <w:tr w:rsidR="00DC206D" w:rsidRPr="00DC206D" w:rsidTr="00D3188E">
        <w:trPr>
          <w:jc w:val="center"/>
        </w:trPr>
        <w:tc>
          <w:tcPr>
            <w:tcW w:w="95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507.56</w:t>
            </w:r>
          </w:p>
        </w:tc>
        <w:tc>
          <w:tcPr>
            <w:tcW w:w="143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3.997</w:t>
            </w:r>
          </w:p>
        </w:tc>
        <w:tc>
          <w:tcPr>
            <w:tcW w:w="1172"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141.486</w:t>
            </w:r>
          </w:p>
        </w:tc>
        <w:tc>
          <w:tcPr>
            <w:tcW w:w="82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80.32</w:t>
            </w:r>
          </w:p>
        </w:tc>
        <w:tc>
          <w:tcPr>
            <w:tcW w:w="20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2</w:t>
            </w:r>
          </w:p>
        </w:tc>
        <w:tc>
          <w:tcPr>
            <w:tcW w:w="2213" w:type="dxa"/>
          </w:tcPr>
          <w:p w:rsidR="00DC206D" w:rsidRPr="00DC206D" w:rsidRDefault="00DC206D" w:rsidP="00720143">
            <w:pPr>
              <w:spacing w:line="240" w:lineRule="auto"/>
              <w:jc w:val="center"/>
              <w:rPr>
                <w:rFonts w:ascii="Times New Roman" w:hAnsi="Times New Roman" w:cs="Times New Roman"/>
                <w:sz w:val="20"/>
                <w:szCs w:val="20"/>
              </w:rPr>
            </w:pPr>
            <w:r w:rsidRPr="00DC206D">
              <w:rPr>
                <w:rFonts w:ascii="Times New Roman" w:hAnsi="Times New Roman" w:cs="Times New Roman"/>
                <w:color w:val="000000"/>
                <w:sz w:val="20"/>
                <w:szCs w:val="20"/>
                <w:lang w:bidi="fa-IR"/>
              </w:rPr>
              <w:t>6</w:t>
            </w:r>
          </w:p>
        </w:tc>
        <w:tc>
          <w:tcPr>
            <w:tcW w:w="6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5</w:t>
            </w:r>
          </w:p>
        </w:tc>
      </w:tr>
      <w:tr w:rsidR="00DC206D" w:rsidRPr="00DC206D" w:rsidTr="00D3188E">
        <w:trPr>
          <w:jc w:val="center"/>
        </w:trPr>
        <w:tc>
          <w:tcPr>
            <w:tcW w:w="950" w:type="dxa"/>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578.51</w:t>
            </w:r>
          </w:p>
        </w:tc>
        <w:tc>
          <w:tcPr>
            <w:tcW w:w="143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4.243</w:t>
            </w:r>
          </w:p>
        </w:tc>
        <w:tc>
          <w:tcPr>
            <w:tcW w:w="1172"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137.525</w:t>
            </w:r>
          </w:p>
        </w:tc>
        <w:tc>
          <w:tcPr>
            <w:tcW w:w="82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67.87</w:t>
            </w:r>
          </w:p>
        </w:tc>
        <w:tc>
          <w:tcPr>
            <w:tcW w:w="20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w:t>
            </w:r>
          </w:p>
        </w:tc>
        <w:tc>
          <w:tcPr>
            <w:tcW w:w="2213" w:type="dxa"/>
          </w:tcPr>
          <w:p w:rsidR="00DC206D" w:rsidRPr="00DC206D" w:rsidRDefault="00DC206D" w:rsidP="00720143">
            <w:pPr>
              <w:spacing w:line="240" w:lineRule="auto"/>
              <w:jc w:val="center"/>
              <w:rPr>
                <w:rFonts w:ascii="Times New Roman" w:hAnsi="Times New Roman" w:cs="Times New Roman"/>
                <w:sz w:val="20"/>
                <w:szCs w:val="20"/>
              </w:rPr>
            </w:pPr>
            <w:r w:rsidRPr="00DC206D">
              <w:rPr>
                <w:rFonts w:ascii="Times New Roman" w:hAnsi="Times New Roman" w:cs="Times New Roman"/>
                <w:color w:val="000000"/>
                <w:sz w:val="20"/>
                <w:szCs w:val="20"/>
                <w:lang w:bidi="fa-IR"/>
              </w:rPr>
              <w:t>6</w:t>
            </w:r>
          </w:p>
        </w:tc>
        <w:tc>
          <w:tcPr>
            <w:tcW w:w="6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25</w:t>
            </w:r>
          </w:p>
        </w:tc>
      </w:tr>
      <w:tr w:rsidR="00DC206D" w:rsidRPr="00DC206D" w:rsidTr="00D3188E">
        <w:trPr>
          <w:jc w:val="center"/>
        </w:trPr>
        <w:tc>
          <w:tcPr>
            <w:tcW w:w="950" w:type="dxa"/>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460.55</w:t>
            </w:r>
          </w:p>
        </w:tc>
        <w:tc>
          <w:tcPr>
            <w:tcW w:w="143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3.876</w:t>
            </w:r>
          </w:p>
        </w:tc>
        <w:tc>
          <w:tcPr>
            <w:tcW w:w="1172"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122.815</w:t>
            </w:r>
          </w:p>
        </w:tc>
        <w:tc>
          <w:tcPr>
            <w:tcW w:w="82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92.88</w:t>
            </w:r>
          </w:p>
        </w:tc>
        <w:tc>
          <w:tcPr>
            <w:tcW w:w="20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2</w:t>
            </w:r>
          </w:p>
        </w:tc>
        <w:tc>
          <w:tcPr>
            <w:tcW w:w="2213" w:type="dxa"/>
          </w:tcPr>
          <w:p w:rsidR="00DC206D" w:rsidRPr="00DC206D" w:rsidRDefault="00DC206D" w:rsidP="00720143">
            <w:pPr>
              <w:spacing w:line="240" w:lineRule="auto"/>
              <w:jc w:val="center"/>
              <w:rPr>
                <w:rFonts w:ascii="Times New Roman" w:hAnsi="Times New Roman" w:cs="Times New Roman"/>
                <w:sz w:val="20"/>
                <w:szCs w:val="20"/>
              </w:rPr>
            </w:pPr>
            <w:r w:rsidRPr="00DC206D">
              <w:rPr>
                <w:rFonts w:ascii="Times New Roman" w:hAnsi="Times New Roman" w:cs="Times New Roman"/>
                <w:color w:val="000000"/>
                <w:sz w:val="20"/>
                <w:szCs w:val="20"/>
                <w:lang w:bidi="fa-IR"/>
              </w:rPr>
              <w:t>6</w:t>
            </w:r>
          </w:p>
        </w:tc>
        <w:tc>
          <w:tcPr>
            <w:tcW w:w="6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41</w:t>
            </w:r>
          </w:p>
        </w:tc>
      </w:tr>
      <w:tr w:rsidR="00DC206D" w:rsidRPr="00DC206D" w:rsidTr="00D3188E">
        <w:trPr>
          <w:jc w:val="center"/>
        </w:trPr>
        <w:tc>
          <w:tcPr>
            <w:tcW w:w="95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489.55</w:t>
            </w:r>
          </w:p>
        </w:tc>
        <w:tc>
          <w:tcPr>
            <w:tcW w:w="143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1.032</w:t>
            </w:r>
          </w:p>
        </w:tc>
        <w:tc>
          <w:tcPr>
            <w:tcW w:w="1172"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126.889</w:t>
            </w:r>
          </w:p>
        </w:tc>
        <w:tc>
          <w:tcPr>
            <w:tcW w:w="82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128.35</w:t>
            </w:r>
          </w:p>
        </w:tc>
        <w:tc>
          <w:tcPr>
            <w:tcW w:w="20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3</w:t>
            </w:r>
          </w:p>
        </w:tc>
        <w:tc>
          <w:tcPr>
            <w:tcW w:w="2213"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9</w:t>
            </w:r>
          </w:p>
        </w:tc>
        <w:tc>
          <w:tcPr>
            <w:tcW w:w="6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43</w:t>
            </w:r>
          </w:p>
        </w:tc>
      </w:tr>
      <w:tr w:rsidR="00DC206D" w:rsidRPr="00DC206D" w:rsidTr="00D3188E">
        <w:trPr>
          <w:jc w:val="center"/>
        </w:trPr>
        <w:tc>
          <w:tcPr>
            <w:tcW w:w="95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505.56</w:t>
            </w:r>
          </w:p>
        </w:tc>
        <w:tc>
          <w:tcPr>
            <w:tcW w:w="143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4.064</w:t>
            </w:r>
          </w:p>
        </w:tc>
        <w:tc>
          <w:tcPr>
            <w:tcW w:w="1172"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126.391</w:t>
            </w:r>
          </w:p>
        </w:tc>
        <w:tc>
          <w:tcPr>
            <w:tcW w:w="820"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36.02</w:t>
            </w:r>
          </w:p>
        </w:tc>
        <w:tc>
          <w:tcPr>
            <w:tcW w:w="20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0</w:t>
            </w:r>
          </w:p>
        </w:tc>
        <w:tc>
          <w:tcPr>
            <w:tcW w:w="2213" w:type="dxa"/>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5</w:t>
            </w:r>
          </w:p>
        </w:tc>
        <w:tc>
          <w:tcPr>
            <w:tcW w:w="667" w:type="dxa"/>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102</w:t>
            </w:r>
          </w:p>
        </w:tc>
      </w:tr>
      <w:tr w:rsidR="00DC206D" w:rsidRPr="00DC206D" w:rsidTr="00D3188E">
        <w:trPr>
          <w:jc w:val="center"/>
        </w:trPr>
        <w:tc>
          <w:tcPr>
            <w:tcW w:w="950"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447.55</w:t>
            </w:r>
          </w:p>
        </w:tc>
        <w:tc>
          <w:tcPr>
            <w:tcW w:w="1430"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4.086</w:t>
            </w:r>
          </w:p>
        </w:tc>
        <w:tc>
          <w:tcPr>
            <w:tcW w:w="1172"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126.178</w:t>
            </w:r>
          </w:p>
        </w:tc>
        <w:tc>
          <w:tcPr>
            <w:tcW w:w="820"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63.25</w:t>
            </w:r>
          </w:p>
        </w:tc>
        <w:tc>
          <w:tcPr>
            <w:tcW w:w="2067"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2</w:t>
            </w:r>
          </w:p>
        </w:tc>
        <w:tc>
          <w:tcPr>
            <w:tcW w:w="2213"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lang w:bidi="fa-IR"/>
              </w:rPr>
            </w:pPr>
            <w:r w:rsidRPr="00DC206D">
              <w:rPr>
                <w:rFonts w:ascii="Times New Roman" w:hAnsi="Times New Roman" w:cs="Times New Roman"/>
                <w:color w:val="000000"/>
                <w:sz w:val="20"/>
                <w:szCs w:val="20"/>
                <w:lang w:bidi="fa-IR"/>
              </w:rPr>
              <w:t>5</w:t>
            </w:r>
          </w:p>
        </w:tc>
        <w:tc>
          <w:tcPr>
            <w:tcW w:w="667" w:type="dxa"/>
            <w:tcBorders>
              <w:bottom w:val="single" w:sz="4" w:space="0" w:color="auto"/>
            </w:tcBorders>
          </w:tcPr>
          <w:p w:rsidR="00DC206D" w:rsidRPr="00DC206D" w:rsidRDefault="00DC206D" w:rsidP="00720143">
            <w:pPr>
              <w:spacing w:line="240" w:lineRule="auto"/>
              <w:jc w:val="center"/>
              <w:rPr>
                <w:rFonts w:ascii="Times New Roman" w:hAnsi="Times New Roman" w:cs="Times New Roman"/>
                <w:color w:val="000000"/>
                <w:sz w:val="20"/>
                <w:szCs w:val="20"/>
                <w:rtl/>
                <w:lang w:bidi="fa-IR"/>
              </w:rPr>
            </w:pPr>
            <w:r w:rsidRPr="00DC206D">
              <w:rPr>
                <w:rFonts w:ascii="Times New Roman" w:hAnsi="Times New Roman" w:cs="Times New Roman"/>
                <w:color w:val="000000"/>
                <w:sz w:val="20"/>
                <w:szCs w:val="20"/>
                <w:lang w:bidi="fa-IR"/>
              </w:rPr>
              <w:t>121</w:t>
            </w:r>
          </w:p>
        </w:tc>
      </w:tr>
    </w:tbl>
    <w:p w:rsidR="00DC206D" w:rsidRDefault="00DC206D" w:rsidP="00FD5E2E">
      <w:pPr>
        <w:autoSpaceDE w:val="0"/>
        <w:autoSpaceDN w:val="0"/>
        <w:adjustRightInd w:val="0"/>
        <w:spacing w:after="0" w:line="360" w:lineRule="auto"/>
        <w:ind w:firstLine="567"/>
        <w:jc w:val="both"/>
        <w:rPr>
          <w:rFonts w:ascii="Times New Roman" w:hAnsi="Times New Roman" w:cs="Times New Roman"/>
          <w:sz w:val="20"/>
          <w:szCs w:val="20"/>
        </w:rPr>
      </w:pPr>
    </w:p>
    <w:p w:rsidR="000E7742" w:rsidRDefault="0089022F" w:rsidP="00D3188E">
      <w:pPr>
        <w:autoSpaceDE w:val="0"/>
        <w:autoSpaceDN w:val="0"/>
        <w:adjustRightInd w:val="0"/>
        <w:spacing w:after="0" w:line="360" w:lineRule="auto"/>
        <w:jc w:val="both"/>
        <w:rPr>
          <w:rFonts w:ascii="Times New Roman" w:hAnsi="Times New Roman" w:cs="Times New Roman"/>
          <w:sz w:val="20"/>
          <w:szCs w:val="20"/>
        </w:rPr>
      </w:pPr>
      <w:r w:rsidRPr="00DC206D">
        <w:rPr>
          <w:rFonts w:ascii="Times New Roman" w:hAnsi="Times New Roman" w:cs="Times New Roman"/>
          <w:sz w:val="20"/>
          <w:szCs w:val="20"/>
        </w:rPr>
        <w:t xml:space="preserve">These molecules were docked to </w:t>
      </w:r>
      <w:proofErr w:type="spellStart"/>
      <w:r w:rsidRPr="00DC206D">
        <w:rPr>
          <w:rFonts w:ascii="Times New Roman" w:hAnsi="Times New Roman" w:cs="Times New Roman"/>
          <w:sz w:val="20"/>
          <w:szCs w:val="20"/>
        </w:rPr>
        <w:t>AChE</w:t>
      </w:r>
      <w:proofErr w:type="spellEnd"/>
      <w:r w:rsidRPr="00DC206D">
        <w:rPr>
          <w:rFonts w:ascii="Times New Roman" w:hAnsi="Times New Roman" w:cs="Times New Roman"/>
          <w:sz w:val="20"/>
          <w:szCs w:val="20"/>
        </w:rPr>
        <w:t xml:space="preserve"> and SSAO/VAP-1 by the blind docking. The docked pose of these molecules showed that 7 molecules interacted in the binding site of the both enzymes. ADMET properties of the selected compounds were predicted using the rule of five formulated by Lipinski</w:t>
      </w:r>
      <w:r w:rsidR="002A6487" w:rsidRPr="00DC206D">
        <w:rPr>
          <w:rFonts w:ascii="Times New Roman" w:hAnsi="Times New Roman" w:cs="Times New Roman"/>
          <w:sz w:val="20"/>
          <w:szCs w:val="20"/>
        </w:rPr>
        <w:t xml:space="preserve"> [4]</w:t>
      </w:r>
      <w:r w:rsidRPr="00DC206D">
        <w:rPr>
          <w:rFonts w:ascii="Times New Roman" w:hAnsi="Times New Roman" w:cs="Times New Roman"/>
          <w:sz w:val="20"/>
          <w:szCs w:val="20"/>
        </w:rPr>
        <w:t>.</w:t>
      </w:r>
      <w:r w:rsidR="00CF6C72" w:rsidRPr="00DC206D">
        <w:rPr>
          <w:rFonts w:ascii="Times New Roman" w:hAnsi="Times New Roman" w:cs="Times New Roman"/>
          <w:sz w:val="20"/>
          <w:szCs w:val="20"/>
        </w:rPr>
        <w:t xml:space="preserve"> </w:t>
      </w:r>
      <w:r w:rsidRPr="00DC206D">
        <w:rPr>
          <w:rFonts w:ascii="Times New Roman" w:hAnsi="Times New Roman" w:cs="Times New Roman"/>
          <w:sz w:val="20"/>
          <w:szCs w:val="20"/>
        </w:rPr>
        <w:t xml:space="preserve">The results of these calculations are listed in Table </w:t>
      </w:r>
      <w:r w:rsidR="00DC50F4" w:rsidRPr="00DC206D">
        <w:rPr>
          <w:rFonts w:ascii="Times New Roman" w:hAnsi="Times New Roman" w:cs="Times New Roman"/>
          <w:sz w:val="20"/>
          <w:szCs w:val="20"/>
        </w:rPr>
        <w:t>1</w:t>
      </w:r>
      <w:r w:rsidRPr="00DC206D">
        <w:rPr>
          <w:rFonts w:ascii="Times New Roman" w:hAnsi="Times New Roman" w:cs="Times New Roman"/>
          <w:sz w:val="20"/>
          <w:szCs w:val="20"/>
        </w:rPr>
        <w:t xml:space="preserve">. These results revealed that compounds 41, 43, 102 and 121 </w:t>
      </w:r>
      <w:r w:rsidR="00DC50F4" w:rsidRPr="00DC206D">
        <w:rPr>
          <w:rFonts w:ascii="Times New Roman" w:hAnsi="Times New Roman" w:cs="Times New Roman"/>
          <w:sz w:val="20"/>
          <w:szCs w:val="20"/>
        </w:rPr>
        <w:t>have the potential to be synthesized</w:t>
      </w:r>
      <w:r w:rsidRPr="00DC206D">
        <w:rPr>
          <w:rFonts w:ascii="Times New Roman" w:hAnsi="Times New Roman" w:cs="Times New Roman"/>
          <w:sz w:val="20"/>
          <w:szCs w:val="20"/>
        </w:rPr>
        <w:t xml:space="preserve">. This methodology could help to design multi-target inhibitors for other diseases. </w:t>
      </w:r>
    </w:p>
    <w:p w:rsidR="00D3188E" w:rsidRPr="000E7742" w:rsidRDefault="00D3188E" w:rsidP="00D3188E">
      <w:pPr>
        <w:autoSpaceDE w:val="0"/>
        <w:autoSpaceDN w:val="0"/>
        <w:adjustRightInd w:val="0"/>
        <w:spacing w:after="0" w:line="360" w:lineRule="auto"/>
        <w:jc w:val="both"/>
        <w:rPr>
          <w:rFonts w:ascii="Times New Roman" w:hAnsi="Times New Roman" w:cs="Times New Roman"/>
          <w:sz w:val="20"/>
          <w:szCs w:val="20"/>
        </w:rPr>
      </w:pPr>
    </w:p>
    <w:p w:rsidR="00CD2109" w:rsidRPr="00DC206D" w:rsidRDefault="00CD55B9" w:rsidP="000A4022">
      <w:pPr>
        <w:autoSpaceDE w:val="0"/>
        <w:autoSpaceDN w:val="0"/>
        <w:adjustRightInd w:val="0"/>
        <w:spacing w:after="0" w:line="480" w:lineRule="auto"/>
        <w:jc w:val="both"/>
        <w:rPr>
          <w:rFonts w:ascii="Times New Roman" w:hAnsi="Times New Roman" w:cs="Times New Roman"/>
          <w:sz w:val="20"/>
          <w:szCs w:val="20"/>
        </w:rPr>
      </w:pPr>
      <w:r w:rsidRPr="00DC206D">
        <w:rPr>
          <w:rFonts w:ascii="Times New Roman" w:hAnsi="Times New Roman" w:cs="Times New Roman"/>
          <w:b/>
          <w:bCs/>
          <w:sz w:val="20"/>
          <w:szCs w:val="20"/>
        </w:rPr>
        <w:t>R</w:t>
      </w:r>
      <w:r w:rsidR="004417B4" w:rsidRPr="00DC206D">
        <w:rPr>
          <w:rFonts w:ascii="Times New Roman" w:hAnsi="Times New Roman" w:cs="Times New Roman"/>
          <w:b/>
          <w:bCs/>
          <w:sz w:val="20"/>
          <w:szCs w:val="20"/>
        </w:rPr>
        <w:t>eferences</w:t>
      </w:r>
    </w:p>
    <w:p w:rsidR="00867CED" w:rsidRPr="00867CED" w:rsidRDefault="00867CED" w:rsidP="00867CED">
      <w:pPr>
        <w:autoSpaceDE w:val="0"/>
        <w:autoSpaceDN w:val="0"/>
        <w:adjustRightInd w:val="0"/>
        <w:spacing w:after="0" w:line="360" w:lineRule="auto"/>
        <w:jc w:val="both"/>
        <w:rPr>
          <w:rFonts w:ascii="Times New Roman" w:hAnsi="Times New Roman" w:cs="Times New Roman"/>
          <w:sz w:val="16"/>
          <w:szCs w:val="16"/>
        </w:rPr>
      </w:pPr>
      <w:r>
        <w:rPr>
          <w:rFonts w:ascii="Times New Roman" w:hAnsi="Times New Roman" w:cs="Times New Roman"/>
          <w:sz w:val="16"/>
          <w:szCs w:val="16"/>
        </w:rPr>
        <w:t>[</w:t>
      </w:r>
      <w:r w:rsidRPr="00867CED">
        <w:rPr>
          <w:rFonts w:ascii="Times New Roman" w:hAnsi="Times New Roman" w:cs="Times New Roman"/>
          <w:sz w:val="16"/>
          <w:szCs w:val="16"/>
        </w:rPr>
        <w:t>1</w:t>
      </w:r>
      <w:r>
        <w:rPr>
          <w:rFonts w:ascii="Times New Roman" w:hAnsi="Times New Roman" w:cs="Times New Roman"/>
          <w:sz w:val="16"/>
          <w:szCs w:val="16"/>
        </w:rPr>
        <w:t>]</w:t>
      </w:r>
      <w:r w:rsidRPr="00867CED">
        <w:rPr>
          <w:rFonts w:ascii="Times New Roman" w:hAnsi="Times New Roman" w:cs="Times New Roman"/>
          <w:sz w:val="16"/>
          <w:szCs w:val="16"/>
        </w:rPr>
        <w:t xml:space="preserve"> </w:t>
      </w:r>
      <w:proofErr w:type="spellStart"/>
      <w:r w:rsidRPr="00867CED">
        <w:rPr>
          <w:rFonts w:ascii="Times New Roman" w:hAnsi="Times New Roman" w:cs="Times New Roman"/>
          <w:sz w:val="16"/>
          <w:szCs w:val="16"/>
        </w:rPr>
        <w:t>Knust</w:t>
      </w:r>
      <w:proofErr w:type="spellEnd"/>
      <w:r w:rsidRPr="00867CED">
        <w:rPr>
          <w:rFonts w:ascii="Times New Roman" w:hAnsi="Times New Roman" w:cs="Times New Roman"/>
          <w:sz w:val="16"/>
          <w:szCs w:val="16"/>
        </w:rPr>
        <w:t xml:space="preserve"> H, </w:t>
      </w:r>
      <w:proofErr w:type="spellStart"/>
      <w:r w:rsidRPr="00867CED">
        <w:rPr>
          <w:rFonts w:ascii="Times New Roman" w:hAnsi="Times New Roman" w:cs="Times New Roman"/>
          <w:sz w:val="16"/>
          <w:szCs w:val="16"/>
        </w:rPr>
        <w:t>Achermann</w:t>
      </w:r>
      <w:proofErr w:type="spellEnd"/>
      <w:r w:rsidRPr="00867CED">
        <w:rPr>
          <w:rFonts w:ascii="Times New Roman" w:hAnsi="Times New Roman" w:cs="Times New Roman"/>
          <w:sz w:val="16"/>
          <w:szCs w:val="16"/>
        </w:rPr>
        <w:t xml:space="preserve"> G, Ballard T, </w:t>
      </w:r>
      <w:proofErr w:type="spellStart"/>
      <w:r w:rsidRPr="00867CED">
        <w:rPr>
          <w:rFonts w:ascii="Times New Roman" w:hAnsi="Times New Roman" w:cs="Times New Roman"/>
          <w:sz w:val="16"/>
          <w:szCs w:val="16"/>
        </w:rPr>
        <w:t>Buettelmann</w:t>
      </w:r>
      <w:proofErr w:type="spellEnd"/>
      <w:r w:rsidRPr="00867CED">
        <w:rPr>
          <w:rFonts w:ascii="Times New Roman" w:hAnsi="Times New Roman" w:cs="Times New Roman"/>
          <w:sz w:val="16"/>
          <w:szCs w:val="16"/>
        </w:rPr>
        <w:t xml:space="preserve"> B, Gasser R, Fischer H, Hernandez MC, </w:t>
      </w:r>
      <w:proofErr w:type="spellStart"/>
      <w:r w:rsidRPr="00867CED">
        <w:rPr>
          <w:rFonts w:ascii="Times New Roman" w:hAnsi="Times New Roman" w:cs="Times New Roman"/>
          <w:sz w:val="16"/>
          <w:szCs w:val="16"/>
        </w:rPr>
        <w:t>Knoflach</w:t>
      </w:r>
      <w:proofErr w:type="spellEnd"/>
      <w:r w:rsidRPr="00867CED">
        <w:rPr>
          <w:rFonts w:ascii="Times New Roman" w:hAnsi="Times New Roman" w:cs="Times New Roman"/>
          <w:sz w:val="16"/>
          <w:szCs w:val="16"/>
        </w:rPr>
        <w:t xml:space="preserve"> F, </w:t>
      </w:r>
      <w:proofErr w:type="spellStart"/>
      <w:r w:rsidRPr="00867CED">
        <w:rPr>
          <w:rFonts w:ascii="Times New Roman" w:hAnsi="Times New Roman" w:cs="Times New Roman"/>
          <w:sz w:val="16"/>
          <w:szCs w:val="16"/>
        </w:rPr>
        <w:t>Koblet</w:t>
      </w:r>
      <w:proofErr w:type="spellEnd"/>
      <w:r w:rsidRPr="00867CED">
        <w:rPr>
          <w:rFonts w:ascii="Times New Roman" w:hAnsi="Times New Roman" w:cs="Times New Roman"/>
          <w:sz w:val="16"/>
          <w:szCs w:val="16"/>
        </w:rPr>
        <w:t xml:space="preserve"> A, </w:t>
      </w:r>
      <w:proofErr w:type="spellStart"/>
      <w:r w:rsidRPr="00867CED">
        <w:rPr>
          <w:rFonts w:ascii="Times New Roman" w:hAnsi="Times New Roman" w:cs="Times New Roman"/>
          <w:sz w:val="16"/>
          <w:szCs w:val="16"/>
        </w:rPr>
        <w:t>Stadler</w:t>
      </w:r>
      <w:proofErr w:type="spellEnd"/>
      <w:r w:rsidRPr="00867CED">
        <w:rPr>
          <w:rFonts w:ascii="Times New Roman" w:hAnsi="Times New Roman" w:cs="Times New Roman"/>
          <w:sz w:val="16"/>
          <w:szCs w:val="16"/>
        </w:rPr>
        <w:t xml:space="preserve"> H, Thomas AW, </w:t>
      </w:r>
      <w:proofErr w:type="spellStart"/>
      <w:r w:rsidRPr="00867CED">
        <w:rPr>
          <w:rFonts w:ascii="Times New Roman" w:hAnsi="Times New Roman" w:cs="Times New Roman"/>
          <w:sz w:val="16"/>
          <w:szCs w:val="16"/>
        </w:rPr>
        <w:t>Trube</w:t>
      </w:r>
      <w:proofErr w:type="spellEnd"/>
      <w:r w:rsidRPr="00867CED">
        <w:rPr>
          <w:rFonts w:ascii="Times New Roman" w:hAnsi="Times New Roman" w:cs="Times New Roman"/>
          <w:sz w:val="16"/>
          <w:szCs w:val="16"/>
        </w:rPr>
        <w:t xml:space="preserve"> G, </w:t>
      </w:r>
      <w:proofErr w:type="spellStart"/>
      <w:r w:rsidRPr="00867CED">
        <w:rPr>
          <w:rFonts w:ascii="Times New Roman" w:hAnsi="Times New Roman" w:cs="Times New Roman"/>
          <w:sz w:val="16"/>
          <w:szCs w:val="16"/>
        </w:rPr>
        <w:t>Waldmeier</w:t>
      </w:r>
      <w:proofErr w:type="spellEnd"/>
      <w:r w:rsidRPr="00867CED">
        <w:rPr>
          <w:rFonts w:ascii="Times New Roman" w:hAnsi="Times New Roman" w:cs="Times New Roman"/>
          <w:sz w:val="16"/>
          <w:szCs w:val="16"/>
        </w:rPr>
        <w:t xml:space="preserve"> P. </w:t>
      </w:r>
      <w:proofErr w:type="gramStart"/>
      <w:r w:rsidRPr="00867CED">
        <w:rPr>
          <w:rFonts w:ascii="Times New Roman" w:hAnsi="Times New Roman" w:cs="Times New Roman"/>
          <w:sz w:val="16"/>
          <w:szCs w:val="16"/>
        </w:rPr>
        <w:t>The discovery and unique pharmacological profile of RO4938581 and RO4882224 as potent and selective GABA</w:t>
      </w:r>
      <w:r w:rsidRPr="00867CED">
        <w:rPr>
          <w:rFonts w:ascii="Times New Roman" w:hAnsi="Times New Roman" w:cs="Times New Roman"/>
          <w:sz w:val="16"/>
          <w:szCs w:val="16"/>
          <w:vertAlign w:val="subscript"/>
        </w:rPr>
        <w:t>A</w:t>
      </w:r>
      <w:r w:rsidRPr="00867CED">
        <w:rPr>
          <w:rFonts w:ascii="Times New Roman" w:hAnsi="Times New Roman" w:cs="Times New Roman"/>
          <w:sz w:val="16"/>
          <w:szCs w:val="16"/>
        </w:rPr>
        <w:t xml:space="preserve"> </w:t>
      </w:r>
      <w:r>
        <w:rPr>
          <w:rFonts w:ascii="Times New Roman" w:hAnsi="Times New Roman" w:cs="Times New Roman"/>
          <w:sz w:val="16"/>
          <w:szCs w:val="16"/>
        </w:rPr>
        <w:t>α</w:t>
      </w:r>
      <w:r w:rsidRPr="00867CED">
        <w:rPr>
          <w:rFonts w:ascii="Times New Roman" w:hAnsi="Times New Roman" w:cs="Times New Roman"/>
          <w:sz w:val="16"/>
          <w:szCs w:val="16"/>
        </w:rPr>
        <w:t>5 inverse agonists for the treatment of cognitive dysfunction.</w:t>
      </w:r>
      <w:proofErr w:type="gramEnd"/>
      <w:r w:rsidRPr="00867CED">
        <w:rPr>
          <w:rFonts w:ascii="Times New Roman" w:hAnsi="Times New Roman" w:cs="Times New Roman"/>
          <w:sz w:val="16"/>
          <w:szCs w:val="16"/>
        </w:rPr>
        <w:t xml:space="preserve"> </w:t>
      </w:r>
      <w:proofErr w:type="spellStart"/>
      <w:proofErr w:type="gramStart"/>
      <w:r w:rsidRPr="00867CED">
        <w:rPr>
          <w:rFonts w:ascii="Times New Roman" w:hAnsi="Times New Roman" w:cs="Times New Roman"/>
          <w:i/>
          <w:iCs/>
          <w:sz w:val="16"/>
          <w:szCs w:val="16"/>
        </w:rPr>
        <w:t>Bioorg</w:t>
      </w:r>
      <w:proofErr w:type="spellEnd"/>
      <w:r w:rsidRPr="00867CED">
        <w:rPr>
          <w:rFonts w:ascii="Times New Roman" w:hAnsi="Times New Roman" w:cs="Times New Roman"/>
          <w:i/>
          <w:iCs/>
          <w:sz w:val="16"/>
          <w:szCs w:val="16"/>
        </w:rPr>
        <w:t>.</w:t>
      </w:r>
      <w:proofErr w:type="gramEnd"/>
      <w:r w:rsidRPr="00867CED">
        <w:rPr>
          <w:rFonts w:ascii="Times New Roman" w:hAnsi="Times New Roman" w:cs="Times New Roman"/>
          <w:i/>
          <w:iCs/>
          <w:sz w:val="16"/>
          <w:szCs w:val="16"/>
        </w:rPr>
        <w:t xml:space="preserve"> Med. Chem. Lett.</w:t>
      </w:r>
      <w:r w:rsidRPr="00867CED">
        <w:rPr>
          <w:rFonts w:ascii="Times New Roman" w:hAnsi="Times New Roman" w:cs="Times New Roman"/>
          <w:sz w:val="16"/>
          <w:szCs w:val="16"/>
        </w:rPr>
        <w:t xml:space="preserve"> 2009; </w:t>
      </w:r>
      <w:proofErr w:type="gramStart"/>
      <w:r w:rsidRPr="00867CED">
        <w:rPr>
          <w:rFonts w:ascii="Times New Roman" w:hAnsi="Times New Roman" w:cs="Times New Roman"/>
          <w:b/>
          <w:bCs/>
          <w:sz w:val="16"/>
          <w:szCs w:val="16"/>
        </w:rPr>
        <w:t>19</w:t>
      </w:r>
      <w:r w:rsidRPr="00867CED">
        <w:rPr>
          <w:rFonts w:ascii="Times New Roman" w:hAnsi="Times New Roman" w:cs="Times New Roman"/>
          <w:sz w:val="16"/>
          <w:szCs w:val="16"/>
        </w:rPr>
        <w:t xml:space="preserve"> :</w:t>
      </w:r>
      <w:proofErr w:type="gramEnd"/>
      <w:r w:rsidRPr="00867CED">
        <w:rPr>
          <w:rFonts w:ascii="Times New Roman" w:hAnsi="Times New Roman" w:cs="Times New Roman"/>
          <w:sz w:val="16"/>
          <w:szCs w:val="16"/>
        </w:rPr>
        <w:t>5940–5944.</w:t>
      </w:r>
    </w:p>
    <w:p w:rsidR="00867CED" w:rsidRPr="00867CED" w:rsidRDefault="00867CED" w:rsidP="00867CED">
      <w:pPr>
        <w:autoSpaceDE w:val="0"/>
        <w:autoSpaceDN w:val="0"/>
        <w:adjustRightInd w:val="0"/>
        <w:spacing w:after="0" w:line="360" w:lineRule="auto"/>
        <w:jc w:val="both"/>
        <w:rPr>
          <w:rFonts w:ascii="Times New Roman" w:hAnsi="Times New Roman" w:cs="Times New Roman"/>
          <w:sz w:val="16"/>
          <w:szCs w:val="16"/>
        </w:rPr>
      </w:pPr>
      <w:r>
        <w:rPr>
          <w:rFonts w:ascii="Times New Roman" w:hAnsi="Times New Roman" w:cs="Times New Roman"/>
          <w:sz w:val="16"/>
          <w:szCs w:val="16"/>
        </w:rPr>
        <w:t>[2]</w:t>
      </w:r>
      <w:r w:rsidRPr="00867CED">
        <w:rPr>
          <w:rFonts w:ascii="Times New Roman" w:hAnsi="Times New Roman" w:cs="Times New Roman"/>
          <w:sz w:val="16"/>
          <w:szCs w:val="16"/>
        </w:rPr>
        <w:t xml:space="preserve"> </w:t>
      </w:r>
      <w:proofErr w:type="spellStart"/>
      <w:r w:rsidRPr="00867CED">
        <w:rPr>
          <w:rFonts w:ascii="Times New Roman" w:hAnsi="Times New Roman" w:cs="Times New Roman"/>
          <w:sz w:val="16"/>
          <w:szCs w:val="16"/>
        </w:rPr>
        <w:t>Youdim</w:t>
      </w:r>
      <w:proofErr w:type="spellEnd"/>
      <w:r w:rsidRPr="00867CED">
        <w:rPr>
          <w:rFonts w:ascii="Times New Roman" w:hAnsi="Times New Roman" w:cs="Times New Roman"/>
          <w:sz w:val="16"/>
          <w:szCs w:val="16"/>
        </w:rPr>
        <w:t xml:space="preserve"> MB, </w:t>
      </w:r>
      <w:proofErr w:type="spellStart"/>
      <w:r w:rsidRPr="00867CED">
        <w:rPr>
          <w:rFonts w:ascii="Times New Roman" w:hAnsi="Times New Roman" w:cs="Times New Roman"/>
          <w:sz w:val="16"/>
          <w:szCs w:val="16"/>
        </w:rPr>
        <w:t>Buccafusco</w:t>
      </w:r>
      <w:proofErr w:type="spellEnd"/>
      <w:r w:rsidRPr="00867CED">
        <w:rPr>
          <w:rFonts w:ascii="Times New Roman" w:hAnsi="Times New Roman" w:cs="Times New Roman"/>
          <w:sz w:val="16"/>
          <w:szCs w:val="16"/>
        </w:rPr>
        <w:t xml:space="preserve"> JJ. </w:t>
      </w:r>
      <w:proofErr w:type="gramStart"/>
      <w:r w:rsidRPr="00867CED">
        <w:rPr>
          <w:rFonts w:ascii="Times New Roman" w:hAnsi="Times New Roman" w:cs="Times New Roman"/>
          <w:sz w:val="16"/>
          <w:szCs w:val="16"/>
        </w:rPr>
        <w:t>Multi-functional drugs for various CNS targets in the treatment of neurodegenerative disorders.</w:t>
      </w:r>
      <w:proofErr w:type="gramEnd"/>
      <w:r w:rsidRPr="00867CED">
        <w:rPr>
          <w:rFonts w:ascii="Times New Roman" w:hAnsi="Times New Roman" w:cs="Times New Roman"/>
          <w:sz w:val="16"/>
          <w:szCs w:val="16"/>
        </w:rPr>
        <w:t xml:space="preserve"> </w:t>
      </w:r>
      <w:proofErr w:type="gramStart"/>
      <w:r w:rsidRPr="00867CED">
        <w:rPr>
          <w:rFonts w:ascii="Times New Roman" w:hAnsi="Times New Roman" w:cs="Times New Roman"/>
          <w:i/>
          <w:iCs/>
          <w:sz w:val="16"/>
          <w:szCs w:val="16"/>
        </w:rPr>
        <w:t xml:space="preserve">Trends </w:t>
      </w:r>
      <w:proofErr w:type="spellStart"/>
      <w:r w:rsidRPr="00867CED">
        <w:rPr>
          <w:rFonts w:ascii="Times New Roman" w:hAnsi="Times New Roman" w:cs="Times New Roman"/>
          <w:i/>
          <w:iCs/>
          <w:sz w:val="16"/>
          <w:szCs w:val="16"/>
        </w:rPr>
        <w:t>Pharmacol</w:t>
      </w:r>
      <w:proofErr w:type="spellEnd"/>
      <w:r w:rsidRPr="00867CED">
        <w:rPr>
          <w:rFonts w:ascii="Times New Roman" w:hAnsi="Times New Roman" w:cs="Times New Roman"/>
          <w:i/>
          <w:iCs/>
          <w:sz w:val="16"/>
          <w:szCs w:val="16"/>
        </w:rPr>
        <w:t>.</w:t>
      </w:r>
      <w:proofErr w:type="gramEnd"/>
      <w:r w:rsidRPr="00867CED">
        <w:rPr>
          <w:rFonts w:ascii="Times New Roman" w:hAnsi="Times New Roman" w:cs="Times New Roman"/>
          <w:i/>
          <w:iCs/>
          <w:sz w:val="16"/>
          <w:szCs w:val="16"/>
        </w:rPr>
        <w:t xml:space="preserve"> Sci.</w:t>
      </w:r>
      <w:r w:rsidRPr="00867CED">
        <w:rPr>
          <w:rFonts w:ascii="Times New Roman" w:hAnsi="Times New Roman" w:cs="Times New Roman"/>
          <w:sz w:val="16"/>
          <w:szCs w:val="16"/>
        </w:rPr>
        <w:t xml:space="preserve"> 2005; </w:t>
      </w:r>
      <w:proofErr w:type="gramStart"/>
      <w:r w:rsidRPr="00867CED">
        <w:rPr>
          <w:rFonts w:ascii="Times New Roman" w:hAnsi="Times New Roman" w:cs="Times New Roman"/>
          <w:b/>
          <w:bCs/>
          <w:sz w:val="16"/>
          <w:szCs w:val="16"/>
        </w:rPr>
        <w:t>26</w:t>
      </w:r>
      <w:r w:rsidRPr="00867CED">
        <w:rPr>
          <w:rFonts w:ascii="Times New Roman" w:hAnsi="Times New Roman" w:cs="Times New Roman"/>
          <w:sz w:val="16"/>
          <w:szCs w:val="16"/>
        </w:rPr>
        <w:t xml:space="preserve"> :</w:t>
      </w:r>
      <w:proofErr w:type="gramEnd"/>
      <w:r w:rsidRPr="00867CED">
        <w:rPr>
          <w:rFonts w:ascii="Times New Roman" w:hAnsi="Times New Roman" w:cs="Times New Roman"/>
          <w:sz w:val="16"/>
          <w:szCs w:val="16"/>
        </w:rPr>
        <w:t>27–35.</w:t>
      </w:r>
    </w:p>
    <w:p w:rsidR="00810359" w:rsidRPr="00DC206D" w:rsidRDefault="00867CED" w:rsidP="00867CED">
      <w:pPr>
        <w:autoSpaceDE w:val="0"/>
        <w:autoSpaceDN w:val="0"/>
        <w:adjustRightInd w:val="0"/>
        <w:spacing w:after="0" w:line="360" w:lineRule="auto"/>
        <w:jc w:val="both"/>
        <w:rPr>
          <w:rFonts w:ascii="Times New Roman" w:hAnsi="Times New Roman" w:cs="Times New Roman"/>
          <w:sz w:val="16"/>
          <w:szCs w:val="16"/>
        </w:rPr>
      </w:pPr>
      <w:r>
        <w:rPr>
          <w:rFonts w:ascii="Times New Roman" w:hAnsi="Times New Roman" w:cs="Times New Roman"/>
          <w:sz w:val="16"/>
          <w:szCs w:val="16"/>
        </w:rPr>
        <w:t>[3]</w:t>
      </w:r>
      <w:r w:rsidRPr="00867CED">
        <w:rPr>
          <w:rFonts w:ascii="Times New Roman" w:hAnsi="Times New Roman" w:cs="Times New Roman"/>
          <w:sz w:val="16"/>
          <w:szCs w:val="16"/>
        </w:rPr>
        <w:t xml:space="preserve"> </w:t>
      </w:r>
      <w:proofErr w:type="spellStart"/>
      <w:r w:rsidRPr="00867CED">
        <w:rPr>
          <w:rFonts w:ascii="Times New Roman" w:hAnsi="Times New Roman" w:cs="Times New Roman"/>
          <w:sz w:val="16"/>
          <w:szCs w:val="16"/>
        </w:rPr>
        <w:t>Emanuela</w:t>
      </w:r>
      <w:proofErr w:type="spellEnd"/>
      <w:r w:rsidRPr="00867CED">
        <w:rPr>
          <w:rFonts w:ascii="Times New Roman" w:hAnsi="Times New Roman" w:cs="Times New Roman"/>
          <w:sz w:val="16"/>
          <w:szCs w:val="16"/>
        </w:rPr>
        <w:t xml:space="preserve"> B, </w:t>
      </w:r>
      <w:proofErr w:type="spellStart"/>
      <w:r w:rsidRPr="00867CED">
        <w:rPr>
          <w:rFonts w:ascii="Times New Roman" w:hAnsi="Times New Roman" w:cs="Times New Roman"/>
          <w:sz w:val="16"/>
          <w:szCs w:val="16"/>
        </w:rPr>
        <w:t>Minarini</w:t>
      </w:r>
      <w:proofErr w:type="spellEnd"/>
      <w:r w:rsidRPr="00867CED">
        <w:rPr>
          <w:rFonts w:ascii="Times New Roman" w:hAnsi="Times New Roman" w:cs="Times New Roman"/>
          <w:sz w:val="16"/>
          <w:szCs w:val="16"/>
        </w:rPr>
        <w:t xml:space="preserve"> A, </w:t>
      </w:r>
      <w:proofErr w:type="spellStart"/>
      <w:r w:rsidRPr="00867CED">
        <w:rPr>
          <w:rFonts w:ascii="Times New Roman" w:hAnsi="Times New Roman" w:cs="Times New Roman"/>
          <w:sz w:val="16"/>
          <w:szCs w:val="16"/>
        </w:rPr>
        <w:t>Tumiatti</w:t>
      </w:r>
      <w:proofErr w:type="spellEnd"/>
      <w:r w:rsidRPr="00867CED">
        <w:rPr>
          <w:rFonts w:ascii="Times New Roman" w:hAnsi="Times New Roman" w:cs="Times New Roman"/>
          <w:sz w:val="16"/>
          <w:szCs w:val="16"/>
        </w:rPr>
        <w:t xml:space="preserve"> V, </w:t>
      </w:r>
      <w:proofErr w:type="spellStart"/>
      <w:r w:rsidRPr="00867CED">
        <w:rPr>
          <w:rFonts w:ascii="Times New Roman" w:hAnsi="Times New Roman" w:cs="Times New Roman"/>
          <w:sz w:val="16"/>
          <w:szCs w:val="16"/>
        </w:rPr>
        <w:t>Milelli</w:t>
      </w:r>
      <w:proofErr w:type="spellEnd"/>
      <w:r w:rsidRPr="00867CED">
        <w:rPr>
          <w:rFonts w:ascii="Times New Roman" w:hAnsi="Times New Roman" w:cs="Times New Roman"/>
          <w:sz w:val="16"/>
          <w:szCs w:val="16"/>
        </w:rPr>
        <w:t xml:space="preserve"> A, </w:t>
      </w:r>
      <w:proofErr w:type="spellStart"/>
      <w:r w:rsidRPr="00867CED">
        <w:rPr>
          <w:rFonts w:ascii="Times New Roman" w:hAnsi="Times New Roman" w:cs="Times New Roman"/>
          <w:sz w:val="16"/>
          <w:szCs w:val="16"/>
        </w:rPr>
        <w:t>Lunelli</w:t>
      </w:r>
      <w:proofErr w:type="spellEnd"/>
      <w:r w:rsidRPr="00867CED">
        <w:rPr>
          <w:rFonts w:ascii="Times New Roman" w:hAnsi="Times New Roman" w:cs="Times New Roman"/>
          <w:sz w:val="16"/>
          <w:szCs w:val="16"/>
        </w:rPr>
        <w:t xml:space="preserve"> M, </w:t>
      </w:r>
      <w:proofErr w:type="spellStart"/>
      <w:r w:rsidRPr="00867CED">
        <w:rPr>
          <w:rFonts w:ascii="Times New Roman" w:hAnsi="Times New Roman" w:cs="Times New Roman"/>
          <w:sz w:val="16"/>
          <w:szCs w:val="16"/>
        </w:rPr>
        <w:t>Pegoraro</w:t>
      </w:r>
      <w:proofErr w:type="spellEnd"/>
      <w:r w:rsidRPr="00867CED">
        <w:rPr>
          <w:rFonts w:ascii="Times New Roman" w:hAnsi="Times New Roman" w:cs="Times New Roman"/>
          <w:sz w:val="16"/>
          <w:szCs w:val="16"/>
        </w:rPr>
        <w:t xml:space="preserve"> M, Rizzoli V, Luisa M, Paolo D. Synthetic polyamines as potential amine oxidase inhibitors: a preliminary study. </w:t>
      </w:r>
      <w:proofErr w:type="gramStart"/>
      <w:r w:rsidRPr="00867CED">
        <w:rPr>
          <w:rFonts w:ascii="Times New Roman" w:hAnsi="Times New Roman" w:cs="Times New Roman"/>
          <w:i/>
          <w:iCs/>
          <w:sz w:val="16"/>
          <w:szCs w:val="16"/>
        </w:rPr>
        <w:t>Amino Acids.</w:t>
      </w:r>
      <w:proofErr w:type="gramEnd"/>
      <w:r w:rsidRPr="00867CED">
        <w:rPr>
          <w:rFonts w:ascii="Times New Roman" w:hAnsi="Times New Roman" w:cs="Times New Roman"/>
          <w:i/>
          <w:iCs/>
          <w:sz w:val="16"/>
          <w:szCs w:val="16"/>
        </w:rPr>
        <w:t xml:space="preserve"> </w:t>
      </w:r>
      <w:r w:rsidRPr="00867CED">
        <w:rPr>
          <w:rFonts w:ascii="Times New Roman" w:hAnsi="Times New Roman" w:cs="Times New Roman"/>
          <w:sz w:val="16"/>
          <w:szCs w:val="16"/>
        </w:rPr>
        <w:t xml:space="preserve">2012; </w:t>
      </w:r>
      <w:proofErr w:type="gramStart"/>
      <w:r w:rsidRPr="00867CED">
        <w:rPr>
          <w:rFonts w:ascii="Times New Roman" w:hAnsi="Times New Roman" w:cs="Times New Roman"/>
          <w:b/>
          <w:bCs/>
          <w:sz w:val="16"/>
          <w:szCs w:val="16"/>
        </w:rPr>
        <w:t>42</w:t>
      </w:r>
      <w:r w:rsidRPr="00867CED">
        <w:rPr>
          <w:rFonts w:ascii="Times New Roman" w:hAnsi="Times New Roman" w:cs="Times New Roman"/>
          <w:sz w:val="16"/>
          <w:szCs w:val="16"/>
        </w:rPr>
        <w:t xml:space="preserve"> :</w:t>
      </w:r>
      <w:proofErr w:type="gramEnd"/>
      <w:r w:rsidRPr="00867CED">
        <w:rPr>
          <w:rFonts w:ascii="Times New Roman" w:hAnsi="Times New Roman" w:cs="Times New Roman"/>
          <w:sz w:val="16"/>
          <w:szCs w:val="16"/>
        </w:rPr>
        <w:t>913–928.</w:t>
      </w:r>
    </w:p>
    <w:p w:rsidR="00B908F2" w:rsidRPr="00D3188E" w:rsidRDefault="00867CED" w:rsidP="00D3188E">
      <w:pPr>
        <w:autoSpaceDE w:val="0"/>
        <w:autoSpaceDN w:val="0"/>
        <w:adjustRightInd w:val="0"/>
        <w:spacing w:after="0" w:line="360" w:lineRule="auto"/>
        <w:jc w:val="both"/>
        <w:rPr>
          <w:rFonts w:ascii="Times New Roman" w:hAnsi="Times New Roman" w:cs="Times New Roman"/>
          <w:sz w:val="16"/>
          <w:szCs w:val="16"/>
        </w:rPr>
      </w:pPr>
      <w:r>
        <w:rPr>
          <w:rFonts w:ascii="Times New Roman" w:hAnsi="Times New Roman" w:cs="Times New Roman"/>
          <w:sz w:val="16"/>
          <w:szCs w:val="16"/>
        </w:rPr>
        <w:t>[</w:t>
      </w:r>
      <w:r w:rsidR="00810359" w:rsidRPr="00DC206D">
        <w:rPr>
          <w:rFonts w:ascii="Times New Roman" w:hAnsi="Times New Roman" w:cs="Times New Roman"/>
          <w:sz w:val="16"/>
          <w:szCs w:val="16"/>
        </w:rPr>
        <w:t>4</w:t>
      </w:r>
      <w:r>
        <w:rPr>
          <w:rFonts w:ascii="Times New Roman" w:hAnsi="Times New Roman" w:cs="Times New Roman"/>
          <w:sz w:val="16"/>
          <w:szCs w:val="16"/>
        </w:rPr>
        <w:t>]</w:t>
      </w:r>
      <w:r w:rsidR="00810359" w:rsidRPr="00DC206D">
        <w:rPr>
          <w:rFonts w:ascii="Times New Roman" w:hAnsi="Times New Roman" w:cs="Times New Roman"/>
          <w:sz w:val="16"/>
          <w:szCs w:val="16"/>
        </w:rPr>
        <w:t xml:space="preserve"> </w:t>
      </w:r>
      <w:r w:rsidRPr="00867CED">
        <w:rPr>
          <w:rFonts w:ascii="Times New Roman" w:hAnsi="Times New Roman" w:cs="Times New Roman"/>
          <w:sz w:val="16"/>
          <w:szCs w:val="16"/>
        </w:rPr>
        <w:t xml:space="preserve">Lipinski CA, Lombardo F, </w:t>
      </w:r>
      <w:proofErr w:type="spellStart"/>
      <w:r w:rsidRPr="00867CED">
        <w:rPr>
          <w:rFonts w:ascii="Times New Roman" w:hAnsi="Times New Roman" w:cs="Times New Roman"/>
          <w:sz w:val="16"/>
          <w:szCs w:val="16"/>
        </w:rPr>
        <w:t>Dominy</w:t>
      </w:r>
      <w:proofErr w:type="spellEnd"/>
      <w:r w:rsidRPr="00867CED">
        <w:rPr>
          <w:rFonts w:ascii="Times New Roman" w:hAnsi="Times New Roman" w:cs="Times New Roman"/>
          <w:sz w:val="16"/>
          <w:szCs w:val="16"/>
        </w:rPr>
        <w:t xml:space="preserve"> BW, Feeney PJ. </w:t>
      </w:r>
      <w:proofErr w:type="gramStart"/>
      <w:r w:rsidRPr="00867CED">
        <w:rPr>
          <w:rFonts w:ascii="Times New Roman" w:hAnsi="Times New Roman" w:cs="Times New Roman"/>
          <w:sz w:val="16"/>
          <w:szCs w:val="16"/>
        </w:rPr>
        <w:t>Experimental and computational approaches to estimate solubility and permeability of drug discovery and development settings.</w:t>
      </w:r>
      <w:proofErr w:type="gramEnd"/>
      <w:r w:rsidRPr="00867CED">
        <w:rPr>
          <w:rFonts w:ascii="Times New Roman" w:hAnsi="Times New Roman" w:cs="Times New Roman"/>
          <w:sz w:val="16"/>
          <w:szCs w:val="16"/>
        </w:rPr>
        <w:t xml:space="preserve"> </w:t>
      </w:r>
      <w:proofErr w:type="gramStart"/>
      <w:r w:rsidRPr="00867CED">
        <w:rPr>
          <w:rFonts w:ascii="Times New Roman" w:hAnsi="Times New Roman" w:cs="Times New Roman"/>
          <w:i/>
          <w:iCs/>
          <w:sz w:val="16"/>
          <w:szCs w:val="16"/>
        </w:rPr>
        <w:t xml:space="preserve">Adv. Drug </w:t>
      </w:r>
      <w:proofErr w:type="spellStart"/>
      <w:r w:rsidRPr="00867CED">
        <w:rPr>
          <w:rFonts w:ascii="Times New Roman" w:hAnsi="Times New Roman" w:cs="Times New Roman"/>
          <w:i/>
          <w:iCs/>
          <w:sz w:val="16"/>
          <w:szCs w:val="16"/>
        </w:rPr>
        <w:t>Deliv</w:t>
      </w:r>
      <w:proofErr w:type="spellEnd"/>
      <w:r w:rsidRPr="00867CED">
        <w:rPr>
          <w:rFonts w:ascii="Times New Roman" w:hAnsi="Times New Roman" w:cs="Times New Roman"/>
          <w:i/>
          <w:iCs/>
          <w:sz w:val="16"/>
          <w:szCs w:val="16"/>
        </w:rPr>
        <w:t>.</w:t>
      </w:r>
      <w:proofErr w:type="gramEnd"/>
      <w:r w:rsidRPr="00867CED">
        <w:rPr>
          <w:rFonts w:ascii="Times New Roman" w:hAnsi="Times New Roman" w:cs="Times New Roman"/>
          <w:i/>
          <w:iCs/>
          <w:sz w:val="16"/>
          <w:szCs w:val="16"/>
        </w:rPr>
        <w:t xml:space="preserve"> Rev</w:t>
      </w:r>
      <w:r w:rsidRPr="00867CED">
        <w:rPr>
          <w:rFonts w:ascii="Times New Roman" w:hAnsi="Times New Roman" w:cs="Times New Roman"/>
          <w:sz w:val="16"/>
          <w:szCs w:val="16"/>
        </w:rPr>
        <w:t xml:space="preserve">. 1997; </w:t>
      </w:r>
      <w:proofErr w:type="gramStart"/>
      <w:r w:rsidRPr="00867CED">
        <w:rPr>
          <w:rFonts w:ascii="Times New Roman" w:hAnsi="Times New Roman" w:cs="Times New Roman"/>
          <w:b/>
          <w:bCs/>
          <w:sz w:val="16"/>
          <w:szCs w:val="16"/>
        </w:rPr>
        <w:t>23</w:t>
      </w:r>
      <w:r w:rsidRPr="00867CED">
        <w:rPr>
          <w:rFonts w:ascii="Times New Roman" w:hAnsi="Times New Roman" w:cs="Times New Roman"/>
          <w:sz w:val="16"/>
          <w:szCs w:val="16"/>
        </w:rPr>
        <w:t xml:space="preserve"> :</w:t>
      </w:r>
      <w:proofErr w:type="gramEnd"/>
      <w:r w:rsidRPr="00867CED">
        <w:rPr>
          <w:rFonts w:ascii="Times New Roman" w:hAnsi="Times New Roman" w:cs="Times New Roman"/>
          <w:sz w:val="16"/>
          <w:szCs w:val="16"/>
        </w:rPr>
        <w:t>3-9.</w:t>
      </w:r>
    </w:p>
    <w:sectPr w:rsidR="00B908F2" w:rsidRPr="00D3188E" w:rsidSect="006944F5">
      <w:headerReference w:type="default" r:id="rId9"/>
      <w:footerReference w:type="default" r:id="rId10"/>
      <w:pgSz w:w="12240" w:h="15840"/>
      <w:pgMar w:top="1699" w:right="1296" w:bottom="1411"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D17" w:rsidRDefault="00932D17" w:rsidP="001D3939">
      <w:pPr>
        <w:spacing w:after="0" w:line="240" w:lineRule="auto"/>
      </w:pPr>
      <w:r>
        <w:separator/>
      </w:r>
    </w:p>
  </w:endnote>
  <w:endnote w:type="continuationSeparator" w:id="0">
    <w:p w:rsidR="00932D17" w:rsidRDefault="00932D17" w:rsidP="001D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altName w:val="Courier New"/>
    <w:charset w:val="B2"/>
    <w:family w:val="auto"/>
    <w:pitch w:val="variable"/>
    <w:sig w:usb0="00002000" w:usb1="80000000" w:usb2="00000008" w:usb3="00000000" w:csb0="00000040" w:csb1="00000000"/>
  </w:font>
  <w:font w:name="2  Zar">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 Nazanin">
    <w:altName w:val="Courier New"/>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045" w:rsidRPr="00114045" w:rsidRDefault="00B33A2E" w:rsidP="00B33A2E">
    <w:pPr>
      <w:pStyle w:val="Footer"/>
      <w:rPr>
        <w:rFonts w:asciiTheme="minorBidi" w:hAnsiTheme="minorBidi" w:cstheme="minorBidi"/>
      </w:rPr>
    </w:pPr>
    <w:r w:rsidRPr="00B33A2E">
      <w:rPr>
        <w:rFonts w:asciiTheme="minorBidi" w:hAnsiTheme="minorBidi" w:cstheme="minorBidi"/>
        <w:b/>
        <w:bCs/>
        <w:sz w:val="16"/>
        <w:szCs w:val="16"/>
      </w:rPr>
      <w:t>5</w:t>
    </w:r>
    <w:r w:rsidRPr="00B33A2E">
      <w:rPr>
        <w:rFonts w:asciiTheme="minorBidi" w:hAnsiTheme="minorBidi" w:cstheme="minorBidi"/>
        <w:b/>
        <w:bCs/>
        <w:sz w:val="16"/>
        <w:szCs w:val="16"/>
        <w:vertAlign w:val="superscript"/>
      </w:rPr>
      <w:t>th</w:t>
    </w:r>
    <w:r w:rsidRPr="00B33A2E">
      <w:rPr>
        <w:rFonts w:asciiTheme="minorBidi" w:hAnsiTheme="minorBidi" w:cstheme="minorBidi"/>
        <w:b/>
        <w:bCs/>
        <w:sz w:val="16"/>
        <w:szCs w:val="16"/>
      </w:rPr>
      <w:t xml:space="preserve"> Iranian Biennial </w:t>
    </w:r>
    <w:proofErr w:type="spellStart"/>
    <w:r w:rsidRPr="00B33A2E">
      <w:rPr>
        <w:rFonts w:asciiTheme="minorBidi" w:hAnsiTheme="minorBidi" w:cstheme="minorBidi"/>
        <w:b/>
        <w:bCs/>
        <w:sz w:val="16"/>
        <w:szCs w:val="16"/>
      </w:rPr>
      <w:t>Chemometrics</w:t>
    </w:r>
    <w:proofErr w:type="spellEnd"/>
    <w:r w:rsidRPr="00B33A2E">
      <w:rPr>
        <w:rFonts w:asciiTheme="minorBidi" w:hAnsiTheme="minorBidi" w:cstheme="minorBidi"/>
        <w:b/>
        <w:bCs/>
        <w:sz w:val="16"/>
        <w:szCs w:val="16"/>
      </w:rPr>
      <w:t xml:space="preserve"> Seminar,</w:t>
    </w:r>
    <w:r w:rsidR="00114045" w:rsidRPr="00114045">
      <w:rPr>
        <w:rFonts w:asciiTheme="minorBidi" w:hAnsiTheme="minorBidi" w:cstheme="minorBidi"/>
        <w:b/>
        <w:bCs/>
        <w:sz w:val="16"/>
        <w:szCs w:val="16"/>
      </w:rPr>
      <w:t xml:space="preserve"> </w:t>
    </w:r>
    <w:hyperlink r:id="rId1" w:tgtFrame="_blank" w:history="1">
      <w:r w:rsidR="00114045" w:rsidRPr="00114045">
        <w:rPr>
          <w:rStyle w:val="Hyperlink"/>
          <w:rFonts w:asciiTheme="minorBidi" w:hAnsiTheme="minorBidi" w:cstheme="minorBidi"/>
          <w:b/>
          <w:bCs/>
          <w:color w:val="000000"/>
          <w:sz w:val="16"/>
          <w:szCs w:val="16"/>
          <w:u w:val="none"/>
        </w:rPr>
        <w:t>University of Tehran</w:t>
      </w:r>
    </w:hyperlink>
    <w:r w:rsidR="00114045" w:rsidRPr="00114045">
      <w:rPr>
        <w:rFonts w:asciiTheme="minorBidi" w:hAnsiTheme="minorBidi" w:cstheme="minorBidi"/>
      </w:rPr>
      <w:ptab w:relativeTo="margin" w:alignment="right" w:leader="none"/>
    </w:r>
    <w:r w:rsidR="00114045" w:rsidRPr="00114045">
      <w:rPr>
        <w:rFonts w:asciiTheme="minorBidi" w:hAnsiTheme="minorBidi" w:cstheme="minorBidi"/>
      </w:rPr>
      <w:t xml:space="preserve"> </w:t>
    </w:r>
    <w:r w:rsidR="00114045" w:rsidRPr="00114045">
      <w:rPr>
        <w:rFonts w:asciiTheme="minorBidi" w:hAnsiTheme="minorBidi" w:cstheme="minorBidi"/>
      </w:rPr>
      <w:fldChar w:fldCharType="begin"/>
    </w:r>
    <w:r w:rsidR="00114045" w:rsidRPr="00114045">
      <w:rPr>
        <w:rFonts w:asciiTheme="minorBidi" w:hAnsiTheme="minorBidi" w:cstheme="minorBidi"/>
      </w:rPr>
      <w:instrText xml:space="preserve"> PAGE   \* MERGEFORMAT </w:instrText>
    </w:r>
    <w:r w:rsidR="00114045" w:rsidRPr="00114045">
      <w:rPr>
        <w:rFonts w:asciiTheme="minorBidi" w:hAnsiTheme="minorBidi" w:cstheme="minorBidi"/>
      </w:rPr>
      <w:fldChar w:fldCharType="separate"/>
    </w:r>
    <w:r w:rsidR="00CD640F">
      <w:rPr>
        <w:rFonts w:asciiTheme="minorBidi" w:hAnsiTheme="minorBidi" w:cstheme="minorBidi"/>
        <w:noProof/>
      </w:rPr>
      <w:t>2</w:t>
    </w:r>
    <w:r w:rsidR="00114045" w:rsidRPr="00114045">
      <w:rPr>
        <w:rFonts w:asciiTheme="minorBidi" w:hAnsiTheme="minorBidi" w:cstheme="minorBidi"/>
      </w:rPr>
      <w:fldChar w:fldCharType="end"/>
    </w:r>
  </w:p>
  <w:p w:rsidR="00864FA4" w:rsidRDefault="00864FA4" w:rsidP="00114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D17" w:rsidRDefault="00932D17" w:rsidP="001D3939">
      <w:pPr>
        <w:spacing w:after="0" w:line="240" w:lineRule="auto"/>
      </w:pPr>
      <w:r>
        <w:separator/>
      </w:r>
    </w:p>
  </w:footnote>
  <w:footnote w:type="continuationSeparator" w:id="0">
    <w:p w:rsidR="00932D17" w:rsidRDefault="00932D17" w:rsidP="001D3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110"/>
      <w:gridCol w:w="1368"/>
    </w:tblGrid>
    <w:tr w:rsidR="00B33A2E" w:rsidTr="00B33A2E">
      <w:trPr>
        <w:trHeight w:val="440"/>
      </w:trPr>
      <w:tc>
        <w:tcPr>
          <w:tcW w:w="1098" w:type="dxa"/>
        </w:tcPr>
        <w:p w:rsidR="00B33A2E" w:rsidRDefault="00BD2660" w:rsidP="00B3301C">
          <w:r>
            <w:rPr>
              <w:noProof/>
            </w:rPr>
            <w:drawing>
              <wp:anchor distT="0" distB="0" distL="114300" distR="114300" simplePos="0" relativeHeight="251660288" behindDoc="1" locked="0" layoutInCell="1" allowOverlap="1" wp14:anchorId="7B87BDC4" wp14:editId="21880449">
                <wp:simplePos x="0" y="0"/>
                <wp:positionH relativeFrom="column">
                  <wp:posOffset>-95097</wp:posOffset>
                </wp:positionH>
                <wp:positionV relativeFrom="paragraph">
                  <wp:posOffset>16204</wp:posOffset>
                </wp:positionV>
                <wp:extent cx="770240" cy="759897"/>
                <wp:effectExtent l="0" t="0" r="0" b="254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75589" cy="76517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110" w:type="dxa"/>
        </w:tcPr>
        <w:p w:rsidR="00BD2660" w:rsidRPr="00BD2660" w:rsidRDefault="00BD2660" w:rsidP="00BD2660">
          <w:pPr>
            <w:bidi/>
            <w:spacing w:after="0" w:line="192" w:lineRule="auto"/>
            <w:jc w:val="center"/>
            <w:rPr>
              <w:rFonts w:asciiTheme="majorBidi" w:hAnsiTheme="majorBidi" w:cs="B Nazanin"/>
              <w:b/>
              <w:bCs/>
              <w:sz w:val="20"/>
              <w:szCs w:val="20"/>
              <w:rtl/>
              <w:lang w:bidi="fa-IR"/>
            </w:rPr>
          </w:pPr>
        </w:p>
        <w:p w:rsidR="00B33A2E" w:rsidRPr="00B33A2E" w:rsidRDefault="00B33A2E" w:rsidP="00B3301C">
          <w:pPr>
            <w:autoSpaceDE w:val="0"/>
            <w:autoSpaceDN w:val="0"/>
            <w:adjustRightInd w:val="0"/>
            <w:spacing w:after="0" w:line="480" w:lineRule="auto"/>
            <w:jc w:val="center"/>
            <w:rPr>
              <w:rFonts w:asciiTheme="majorBidi" w:eastAsiaTheme="majorEastAsia" w:hAnsiTheme="majorBidi" w:cstheme="majorBidi"/>
              <w:b/>
              <w:bCs/>
              <w:noProof/>
              <w:sz w:val="18"/>
              <w:szCs w:val="18"/>
            </w:rPr>
          </w:pPr>
          <w:r w:rsidRPr="00B33A2E">
            <w:rPr>
              <w:rFonts w:asciiTheme="majorBidi" w:eastAsiaTheme="majorEastAsia" w:hAnsiTheme="majorBidi" w:cstheme="majorBidi"/>
              <w:b/>
              <w:bCs/>
              <w:noProof/>
              <w:sz w:val="18"/>
              <w:szCs w:val="18"/>
            </w:rPr>
            <w:t>5</w:t>
          </w:r>
          <w:r w:rsidRPr="00B33A2E">
            <w:rPr>
              <w:rFonts w:asciiTheme="majorBidi" w:eastAsiaTheme="majorEastAsia" w:hAnsiTheme="majorBidi" w:cstheme="majorBidi"/>
              <w:b/>
              <w:bCs/>
              <w:noProof/>
              <w:sz w:val="18"/>
              <w:szCs w:val="18"/>
              <w:vertAlign w:val="superscript"/>
            </w:rPr>
            <w:t>th</w:t>
          </w:r>
          <w:r w:rsidRPr="00B33A2E">
            <w:rPr>
              <w:rFonts w:asciiTheme="majorBidi" w:eastAsiaTheme="majorEastAsia" w:hAnsiTheme="majorBidi" w:cstheme="majorBidi"/>
              <w:b/>
              <w:bCs/>
              <w:noProof/>
              <w:sz w:val="18"/>
              <w:szCs w:val="18"/>
            </w:rPr>
            <w:t xml:space="preserve"> Iranian Biennial Chemometrics Seminar, 25-26 Nov 2015</w:t>
          </w:r>
        </w:p>
        <w:p w:rsidR="00B33A2E" w:rsidRPr="00BD2660" w:rsidRDefault="00B33A2E" w:rsidP="00BD2660">
          <w:pPr>
            <w:autoSpaceDE w:val="0"/>
            <w:autoSpaceDN w:val="0"/>
            <w:adjustRightInd w:val="0"/>
            <w:spacing w:after="0" w:line="480" w:lineRule="auto"/>
            <w:jc w:val="center"/>
            <w:rPr>
              <w:rFonts w:ascii="Times New Roman" w:hAnsi="Times New Roman" w:cs="Times New Roman"/>
              <w:b/>
              <w:bCs/>
              <w:sz w:val="18"/>
              <w:szCs w:val="18"/>
              <w:rtl/>
              <w:lang w:bidi="fa-IR"/>
            </w:rPr>
          </w:pPr>
          <w:r w:rsidRPr="00B33A2E">
            <w:rPr>
              <w:rFonts w:asciiTheme="majorBidi" w:eastAsiaTheme="majorEastAsia" w:hAnsiTheme="majorBidi" w:cstheme="majorBidi"/>
              <w:b/>
              <w:bCs/>
              <w:noProof/>
              <w:sz w:val="18"/>
              <w:szCs w:val="18"/>
            </w:rPr>
            <w:t xml:space="preserve">Department of Chemistry, Faculty of Science , University of Tehran, Tehran, Iran </w:t>
          </w:r>
        </w:p>
      </w:tc>
      <w:tc>
        <w:tcPr>
          <w:tcW w:w="1368" w:type="dxa"/>
        </w:tcPr>
        <w:p w:rsidR="00B33A2E" w:rsidRDefault="00B33A2E" w:rsidP="00B3301C">
          <w:r>
            <w:rPr>
              <w:rFonts w:asciiTheme="majorHAnsi" w:eastAsiaTheme="majorEastAsia" w:hAnsiTheme="majorHAnsi" w:cstheme="majorBidi"/>
              <w:noProof/>
              <w:sz w:val="32"/>
              <w:szCs w:val="32"/>
            </w:rPr>
            <w:drawing>
              <wp:inline distT="0" distB="0" distL="0" distR="0" wp14:anchorId="7A193690" wp14:editId="344F2E8B">
                <wp:extent cx="709684" cy="709684"/>
                <wp:effectExtent l="19050" t="0" r="0" b="0"/>
                <wp:docPr id="9" name="Picture 8" descr="200px-University_of_Tehran_logo.svg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x-University_of_Tehran_logo.svg_.png"/>
                        <pic:cNvPicPr/>
                      </pic:nvPicPr>
                      <pic:blipFill>
                        <a:blip r:embed="rId2"/>
                        <a:stretch>
                          <a:fillRect/>
                        </a:stretch>
                      </pic:blipFill>
                      <pic:spPr>
                        <a:xfrm>
                          <a:off x="0" y="0"/>
                          <a:ext cx="710019" cy="710019"/>
                        </a:xfrm>
                        <a:prstGeom prst="rect">
                          <a:avLst/>
                        </a:prstGeom>
                      </pic:spPr>
                    </pic:pic>
                  </a:graphicData>
                </a:graphic>
              </wp:inline>
            </w:drawing>
          </w:r>
        </w:p>
      </w:tc>
    </w:tr>
  </w:tbl>
  <w:p w:rsidR="00B471DB" w:rsidRPr="00AC36DE" w:rsidRDefault="00B33A2E" w:rsidP="00AC36DE">
    <w:pPr>
      <w:pStyle w:val="Header"/>
    </w:pPr>
    <w:r>
      <w:rPr>
        <w:noProof/>
      </w:rPr>
      <mc:AlternateContent>
        <mc:Choice Requires="wps">
          <w:drawing>
            <wp:anchor distT="0" distB="0" distL="114300" distR="114300" simplePos="0" relativeHeight="251658240" behindDoc="0" locked="0" layoutInCell="1" allowOverlap="1" wp14:anchorId="5CB96A7A" wp14:editId="5036BE4F">
              <wp:simplePos x="0" y="0"/>
              <wp:positionH relativeFrom="column">
                <wp:posOffset>-248920</wp:posOffset>
              </wp:positionH>
              <wp:positionV relativeFrom="paragraph">
                <wp:posOffset>25400</wp:posOffset>
              </wp:positionV>
              <wp:extent cx="6430010" cy="635"/>
              <wp:effectExtent l="17780" t="15240" r="19685" b="222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0010" cy="635"/>
                      </a:xfrm>
                      <a:prstGeom prst="straightConnector1">
                        <a:avLst/>
                      </a:prstGeom>
                      <a:noFill/>
                      <a:ln w="28575" cap="flat">
                        <a:solidFill>
                          <a:srgbClr val="000000"/>
                        </a:solidFill>
                        <a:prstDash val="sysDot"/>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9.6pt;margin-top:2pt;width:506.3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" strokeweight="2.25pt">
              <v:stroke dashstyle="1 1"/>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4202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A6E"/>
    <w:rsid w:val="00001E9E"/>
    <w:rsid w:val="00004407"/>
    <w:rsid w:val="00004E6E"/>
    <w:rsid w:val="00005266"/>
    <w:rsid w:val="00012174"/>
    <w:rsid w:val="00012ECB"/>
    <w:rsid w:val="0001786B"/>
    <w:rsid w:val="00030FDC"/>
    <w:rsid w:val="000315BD"/>
    <w:rsid w:val="000372DF"/>
    <w:rsid w:val="00043C4B"/>
    <w:rsid w:val="00044404"/>
    <w:rsid w:val="00050C7F"/>
    <w:rsid w:val="00050E99"/>
    <w:rsid w:val="00052BB9"/>
    <w:rsid w:val="000551E2"/>
    <w:rsid w:val="000652D6"/>
    <w:rsid w:val="00081D9A"/>
    <w:rsid w:val="00087CF9"/>
    <w:rsid w:val="00093100"/>
    <w:rsid w:val="00094425"/>
    <w:rsid w:val="00097CA7"/>
    <w:rsid w:val="00097CCA"/>
    <w:rsid w:val="000A4022"/>
    <w:rsid w:val="000B2F86"/>
    <w:rsid w:val="000D5DA5"/>
    <w:rsid w:val="000D672A"/>
    <w:rsid w:val="000D675C"/>
    <w:rsid w:val="000E01E5"/>
    <w:rsid w:val="000E7742"/>
    <w:rsid w:val="000F2DB4"/>
    <w:rsid w:val="000F4534"/>
    <w:rsid w:val="00114045"/>
    <w:rsid w:val="00116B6F"/>
    <w:rsid w:val="0012197C"/>
    <w:rsid w:val="00126528"/>
    <w:rsid w:val="00127E69"/>
    <w:rsid w:val="0013274F"/>
    <w:rsid w:val="001416E6"/>
    <w:rsid w:val="0015137D"/>
    <w:rsid w:val="00151DA3"/>
    <w:rsid w:val="0015526E"/>
    <w:rsid w:val="00157ECC"/>
    <w:rsid w:val="00160E3D"/>
    <w:rsid w:val="001634A3"/>
    <w:rsid w:val="00174021"/>
    <w:rsid w:val="00174BF6"/>
    <w:rsid w:val="00192083"/>
    <w:rsid w:val="001942B3"/>
    <w:rsid w:val="00194FC9"/>
    <w:rsid w:val="001A2661"/>
    <w:rsid w:val="001A4D04"/>
    <w:rsid w:val="001A7FC0"/>
    <w:rsid w:val="001B61FA"/>
    <w:rsid w:val="001B764A"/>
    <w:rsid w:val="001C30BD"/>
    <w:rsid w:val="001D2221"/>
    <w:rsid w:val="001D3939"/>
    <w:rsid w:val="001E471B"/>
    <w:rsid w:val="002004FE"/>
    <w:rsid w:val="00201A61"/>
    <w:rsid w:val="00202137"/>
    <w:rsid w:val="0020446E"/>
    <w:rsid w:val="0020617D"/>
    <w:rsid w:val="00210D0C"/>
    <w:rsid w:val="0021288B"/>
    <w:rsid w:val="00220AA1"/>
    <w:rsid w:val="00220B33"/>
    <w:rsid w:val="00222C44"/>
    <w:rsid w:val="00223D78"/>
    <w:rsid w:val="00224F49"/>
    <w:rsid w:val="0022700F"/>
    <w:rsid w:val="00235129"/>
    <w:rsid w:val="002423C3"/>
    <w:rsid w:val="0024327C"/>
    <w:rsid w:val="00253B10"/>
    <w:rsid w:val="00255B90"/>
    <w:rsid w:val="00261AEA"/>
    <w:rsid w:val="00262DA1"/>
    <w:rsid w:val="002650BF"/>
    <w:rsid w:val="00275603"/>
    <w:rsid w:val="0028409C"/>
    <w:rsid w:val="00290088"/>
    <w:rsid w:val="00291F92"/>
    <w:rsid w:val="002A0EE6"/>
    <w:rsid w:val="002A45F9"/>
    <w:rsid w:val="002A47EF"/>
    <w:rsid w:val="002A63A5"/>
    <w:rsid w:val="002A6487"/>
    <w:rsid w:val="002B598B"/>
    <w:rsid w:val="002B5DAD"/>
    <w:rsid w:val="002C2F47"/>
    <w:rsid w:val="002C743B"/>
    <w:rsid w:val="002C78F8"/>
    <w:rsid w:val="002C7C7B"/>
    <w:rsid w:val="002D166C"/>
    <w:rsid w:val="002D1A9F"/>
    <w:rsid w:val="002D4012"/>
    <w:rsid w:val="002E0680"/>
    <w:rsid w:val="002E2ACD"/>
    <w:rsid w:val="002E3799"/>
    <w:rsid w:val="002E4FBA"/>
    <w:rsid w:val="002F2EDC"/>
    <w:rsid w:val="00300C64"/>
    <w:rsid w:val="00306572"/>
    <w:rsid w:val="0031669A"/>
    <w:rsid w:val="00317359"/>
    <w:rsid w:val="00321A36"/>
    <w:rsid w:val="00336738"/>
    <w:rsid w:val="00342549"/>
    <w:rsid w:val="00346C4A"/>
    <w:rsid w:val="00352788"/>
    <w:rsid w:val="00353860"/>
    <w:rsid w:val="0035405F"/>
    <w:rsid w:val="003728A8"/>
    <w:rsid w:val="0037396A"/>
    <w:rsid w:val="00382D8C"/>
    <w:rsid w:val="003868E9"/>
    <w:rsid w:val="0039072F"/>
    <w:rsid w:val="003964E6"/>
    <w:rsid w:val="003975A7"/>
    <w:rsid w:val="003A4DA6"/>
    <w:rsid w:val="003A4FB9"/>
    <w:rsid w:val="003B10C0"/>
    <w:rsid w:val="003B374D"/>
    <w:rsid w:val="003B50A5"/>
    <w:rsid w:val="003C0E13"/>
    <w:rsid w:val="003C6F35"/>
    <w:rsid w:val="003C78D5"/>
    <w:rsid w:val="003D00F0"/>
    <w:rsid w:val="003D2770"/>
    <w:rsid w:val="003D64A9"/>
    <w:rsid w:val="003E19A0"/>
    <w:rsid w:val="003E2E50"/>
    <w:rsid w:val="003E4792"/>
    <w:rsid w:val="003E53D0"/>
    <w:rsid w:val="003F03F3"/>
    <w:rsid w:val="003F27E5"/>
    <w:rsid w:val="003F2F75"/>
    <w:rsid w:val="003F5AF3"/>
    <w:rsid w:val="00402476"/>
    <w:rsid w:val="004054B1"/>
    <w:rsid w:val="004107B8"/>
    <w:rsid w:val="0042095A"/>
    <w:rsid w:val="00420C58"/>
    <w:rsid w:val="00423B17"/>
    <w:rsid w:val="0042449A"/>
    <w:rsid w:val="0043017D"/>
    <w:rsid w:val="00433726"/>
    <w:rsid w:val="004359C4"/>
    <w:rsid w:val="004417B4"/>
    <w:rsid w:val="00442118"/>
    <w:rsid w:val="004437C6"/>
    <w:rsid w:val="004439F6"/>
    <w:rsid w:val="00457C0E"/>
    <w:rsid w:val="00470AF6"/>
    <w:rsid w:val="00472D1B"/>
    <w:rsid w:val="00474412"/>
    <w:rsid w:val="00474887"/>
    <w:rsid w:val="004768D9"/>
    <w:rsid w:val="00476A3C"/>
    <w:rsid w:val="004801CE"/>
    <w:rsid w:val="00485EA4"/>
    <w:rsid w:val="004869C4"/>
    <w:rsid w:val="00487127"/>
    <w:rsid w:val="004878C4"/>
    <w:rsid w:val="004906CB"/>
    <w:rsid w:val="004909D5"/>
    <w:rsid w:val="00492AE9"/>
    <w:rsid w:val="00493069"/>
    <w:rsid w:val="00494705"/>
    <w:rsid w:val="00494C74"/>
    <w:rsid w:val="00495028"/>
    <w:rsid w:val="004968CC"/>
    <w:rsid w:val="00496DC1"/>
    <w:rsid w:val="004A4D2C"/>
    <w:rsid w:val="004A7788"/>
    <w:rsid w:val="004B3541"/>
    <w:rsid w:val="004B40F5"/>
    <w:rsid w:val="004B4177"/>
    <w:rsid w:val="004B4AF4"/>
    <w:rsid w:val="004B6C9F"/>
    <w:rsid w:val="004B76DC"/>
    <w:rsid w:val="004C5375"/>
    <w:rsid w:val="004D2647"/>
    <w:rsid w:val="004D3209"/>
    <w:rsid w:val="004D45B7"/>
    <w:rsid w:val="004D4D8A"/>
    <w:rsid w:val="004D5EA7"/>
    <w:rsid w:val="004D6801"/>
    <w:rsid w:val="004E2064"/>
    <w:rsid w:val="004F2055"/>
    <w:rsid w:val="004F5C6F"/>
    <w:rsid w:val="004F5DB8"/>
    <w:rsid w:val="004F6450"/>
    <w:rsid w:val="004F68B9"/>
    <w:rsid w:val="005056B5"/>
    <w:rsid w:val="00517AE3"/>
    <w:rsid w:val="0053036C"/>
    <w:rsid w:val="00534936"/>
    <w:rsid w:val="005351EA"/>
    <w:rsid w:val="00536185"/>
    <w:rsid w:val="00540E43"/>
    <w:rsid w:val="005412BF"/>
    <w:rsid w:val="0054383E"/>
    <w:rsid w:val="00550200"/>
    <w:rsid w:val="00560BC0"/>
    <w:rsid w:val="00560CB8"/>
    <w:rsid w:val="0057764F"/>
    <w:rsid w:val="00577A81"/>
    <w:rsid w:val="0059086D"/>
    <w:rsid w:val="005908EA"/>
    <w:rsid w:val="005A3B6B"/>
    <w:rsid w:val="005B0E7B"/>
    <w:rsid w:val="005B1C71"/>
    <w:rsid w:val="005B4832"/>
    <w:rsid w:val="005C08CE"/>
    <w:rsid w:val="005C53FF"/>
    <w:rsid w:val="005D3320"/>
    <w:rsid w:val="005E0882"/>
    <w:rsid w:val="005E4E9C"/>
    <w:rsid w:val="005E6E19"/>
    <w:rsid w:val="005F00F6"/>
    <w:rsid w:val="00601FFC"/>
    <w:rsid w:val="00602B08"/>
    <w:rsid w:val="00605622"/>
    <w:rsid w:val="00612F6F"/>
    <w:rsid w:val="00622F7D"/>
    <w:rsid w:val="00624A81"/>
    <w:rsid w:val="00625BD4"/>
    <w:rsid w:val="00625F30"/>
    <w:rsid w:val="00627D4B"/>
    <w:rsid w:val="00640BA7"/>
    <w:rsid w:val="006553CA"/>
    <w:rsid w:val="00657DA2"/>
    <w:rsid w:val="00662056"/>
    <w:rsid w:val="006633ED"/>
    <w:rsid w:val="006669FF"/>
    <w:rsid w:val="0067383B"/>
    <w:rsid w:val="00680CE7"/>
    <w:rsid w:val="00683699"/>
    <w:rsid w:val="00687967"/>
    <w:rsid w:val="0069009E"/>
    <w:rsid w:val="006944F5"/>
    <w:rsid w:val="006951F9"/>
    <w:rsid w:val="00697C1C"/>
    <w:rsid w:val="006A6A94"/>
    <w:rsid w:val="006B5A98"/>
    <w:rsid w:val="006C0FAE"/>
    <w:rsid w:val="006D05F8"/>
    <w:rsid w:val="006D0A4A"/>
    <w:rsid w:val="006D52D8"/>
    <w:rsid w:val="006D5A87"/>
    <w:rsid w:val="006D6025"/>
    <w:rsid w:val="006E466B"/>
    <w:rsid w:val="006F33F6"/>
    <w:rsid w:val="006F79FC"/>
    <w:rsid w:val="0070285D"/>
    <w:rsid w:val="007035E9"/>
    <w:rsid w:val="00707A1F"/>
    <w:rsid w:val="00712A25"/>
    <w:rsid w:val="00714D79"/>
    <w:rsid w:val="0071758D"/>
    <w:rsid w:val="00717876"/>
    <w:rsid w:val="00720143"/>
    <w:rsid w:val="00721928"/>
    <w:rsid w:val="00722DED"/>
    <w:rsid w:val="00723D8B"/>
    <w:rsid w:val="007260D1"/>
    <w:rsid w:val="00726C22"/>
    <w:rsid w:val="00740EDF"/>
    <w:rsid w:val="0074253D"/>
    <w:rsid w:val="00747160"/>
    <w:rsid w:val="0075076E"/>
    <w:rsid w:val="007519A9"/>
    <w:rsid w:val="007519BD"/>
    <w:rsid w:val="007615B4"/>
    <w:rsid w:val="007652BD"/>
    <w:rsid w:val="00772BD0"/>
    <w:rsid w:val="00773BDC"/>
    <w:rsid w:val="0077548B"/>
    <w:rsid w:val="00784D7F"/>
    <w:rsid w:val="007879C2"/>
    <w:rsid w:val="00790029"/>
    <w:rsid w:val="00795ACD"/>
    <w:rsid w:val="007A4168"/>
    <w:rsid w:val="007B395E"/>
    <w:rsid w:val="007B5A86"/>
    <w:rsid w:val="007B7239"/>
    <w:rsid w:val="007D49AA"/>
    <w:rsid w:val="007D76DC"/>
    <w:rsid w:val="007D76F9"/>
    <w:rsid w:val="007D79B6"/>
    <w:rsid w:val="007D7E73"/>
    <w:rsid w:val="007E0F23"/>
    <w:rsid w:val="007E28E5"/>
    <w:rsid w:val="007E7844"/>
    <w:rsid w:val="007E79ED"/>
    <w:rsid w:val="007F0747"/>
    <w:rsid w:val="007F0B7A"/>
    <w:rsid w:val="00805329"/>
    <w:rsid w:val="0080703D"/>
    <w:rsid w:val="00810359"/>
    <w:rsid w:val="008243B3"/>
    <w:rsid w:val="00827861"/>
    <w:rsid w:val="00833052"/>
    <w:rsid w:val="00833334"/>
    <w:rsid w:val="00833541"/>
    <w:rsid w:val="00836030"/>
    <w:rsid w:val="00846503"/>
    <w:rsid w:val="0085212D"/>
    <w:rsid w:val="0085377E"/>
    <w:rsid w:val="00864FA4"/>
    <w:rsid w:val="00865CD2"/>
    <w:rsid w:val="00867CED"/>
    <w:rsid w:val="00871A82"/>
    <w:rsid w:val="008736DE"/>
    <w:rsid w:val="00875536"/>
    <w:rsid w:val="00886659"/>
    <w:rsid w:val="0089022F"/>
    <w:rsid w:val="008A39A6"/>
    <w:rsid w:val="008A49BD"/>
    <w:rsid w:val="008A4DB1"/>
    <w:rsid w:val="008A5210"/>
    <w:rsid w:val="008B4DB8"/>
    <w:rsid w:val="008B4F71"/>
    <w:rsid w:val="008C5542"/>
    <w:rsid w:val="008D2D1B"/>
    <w:rsid w:val="008D66CB"/>
    <w:rsid w:val="008E2F1E"/>
    <w:rsid w:val="008E5AC8"/>
    <w:rsid w:val="008E64CA"/>
    <w:rsid w:val="008E7FA4"/>
    <w:rsid w:val="008F08C2"/>
    <w:rsid w:val="008F3E37"/>
    <w:rsid w:val="009003AA"/>
    <w:rsid w:val="009168DF"/>
    <w:rsid w:val="00917F47"/>
    <w:rsid w:val="0092066C"/>
    <w:rsid w:val="00932D17"/>
    <w:rsid w:val="00934186"/>
    <w:rsid w:val="009344F8"/>
    <w:rsid w:val="00943182"/>
    <w:rsid w:val="0094459D"/>
    <w:rsid w:val="00944B23"/>
    <w:rsid w:val="00947A7A"/>
    <w:rsid w:val="00951576"/>
    <w:rsid w:val="009538DA"/>
    <w:rsid w:val="00953ACB"/>
    <w:rsid w:val="009575F3"/>
    <w:rsid w:val="009623C7"/>
    <w:rsid w:val="009703F7"/>
    <w:rsid w:val="0097103E"/>
    <w:rsid w:val="009843A4"/>
    <w:rsid w:val="009850ED"/>
    <w:rsid w:val="00985E76"/>
    <w:rsid w:val="009902E7"/>
    <w:rsid w:val="00990986"/>
    <w:rsid w:val="00990B74"/>
    <w:rsid w:val="00992532"/>
    <w:rsid w:val="0099390F"/>
    <w:rsid w:val="00994329"/>
    <w:rsid w:val="00994C35"/>
    <w:rsid w:val="00995860"/>
    <w:rsid w:val="00996757"/>
    <w:rsid w:val="009A2AFD"/>
    <w:rsid w:val="009B09DB"/>
    <w:rsid w:val="009B0DD9"/>
    <w:rsid w:val="009C0AC1"/>
    <w:rsid w:val="009C32E2"/>
    <w:rsid w:val="009C7C59"/>
    <w:rsid w:val="009D6D80"/>
    <w:rsid w:val="009F4432"/>
    <w:rsid w:val="009F62C8"/>
    <w:rsid w:val="009F7E49"/>
    <w:rsid w:val="00A116E1"/>
    <w:rsid w:val="00A227F7"/>
    <w:rsid w:val="00A25186"/>
    <w:rsid w:val="00A25BCB"/>
    <w:rsid w:val="00A31F34"/>
    <w:rsid w:val="00A330DC"/>
    <w:rsid w:val="00A34515"/>
    <w:rsid w:val="00A36A42"/>
    <w:rsid w:val="00A3740A"/>
    <w:rsid w:val="00A42C3C"/>
    <w:rsid w:val="00A43199"/>
    <w:rsid w:val="00A54137"/>
    <w:rsid w:val="00A622D1"/>
    <w:rsid w:val="00A65335"/>
    <w:rsid w:val="00A66D86"/>
    <w:rsid w:val="00A711AF"/>
    <w:rsid w:val="00A71D07"/>
    <w:rsid w:val="00A76E56"/>
    <w:rsid w:val="00A8172B"/>
    <w:rsid w:val="00A833B8"/>
    <w:rsid w:val="00A92E87"/>
    <w:rsid w:val="00A9514A"/>
    <w:rsid w:val="00A97EAB"/>
    <w:rsid w:val="00AA1E90"/>
    <w:rsid w:val="00AA34A6"/>
    <w:rsid w:val="00AA537B"/>
    <w:rsid w:val="00AA5C52"/>
    <w:rsid w:val="00AA68B4"/>
    <w:rsid w:val="00AB305C"/>
    <w:rsid w:val="00AB71C5"/>
    <w:rsid w:val="00AC36DE"/>
    <w:rsid w:val="00AC6279"/>
    <w:rsid w:val="00AD1C99"/>
    <w:rsid w:val="00AD4834"/>
    <w:rsid w:val="00AD7E04"/>
    <w:rsid w:val="00AE2D77"/>
    <w:rsid w:val="00AE58E7"/>
    <w:rsid w:val="00AF1CA3"/>
    <w:rsid w:val="00AF3EBD"/>
    <w:rsid w:val="00AF4A7D"/>
    <w:rsid w:val="00B14D06"/>
    <w:rsid w:val="00B2118B"/>
    <w:rsid w:val="00B31048"/>
    <w:rsid w:val="00B323FD"/>
    <w:rsid w:val="00B332BA"/>
    <w:rsid w:val="00B33A2E"/>
    <w:rsid w:val="00B41936"/>
    <w:rsid w:val="00B41E28"/>
    <w:rsid w:val="00B41E83"/>
    <w:rsid w:val="00B45E98"/>
    <w:rsid w:val="00B46528"/>
    <w:rsid w:val="00B46855"/>
    <w:rsid w:val="00B471DB"/>
    <w:rsid w:val="00B5098C"/>
    <w:rsid w:val="00B539F9"/>
    <w:rsid w:val="00B56FAD"/>
    <w:rsid w:val="00B57D34"/>
    <w:rsid w:val="00B62ACA"/>
    <w:rsid w:val="00B67674"/>
    <w:rsid w:val="00B708CE"/>
    <w:rsid w:val="00B70A97"/>
    <w:rsid w:val="00B71094"/>
    <w:rsid w:val="00B71988"/>
    <w:rsid w:val="00B72A73"/>
    <w:rsid w:val="00B732A7"/>
    <w:rsid w:val="00B754B9"/>
    <w:rsid w:val="00B75E0D"/>
    <w:rsid w:val="00B8013E"/>
    <w:rsid w:val="00B85DBF"/>
    <w:rsid w:val="00B908F2"/>
    <w:rsid w:val="00B95777"/>
    <w:rsid w:val="00B95FC0"/>
    <w:rsid w:val="00B960F6"/>
    <w:rsid w:val="00B96E2A"/>
    <w:rsid w:val="00BA3159"/>
    <w:rsid w:val="00BA51D6"/>
    <w:rsid w:val="00BA670E"/>
    <w:rsid w:val="00BB657A"/>
    <w:rsid w:val="00BD2660"/>
    <w:rsid w:val="00BD6579"/>
    <w:rsid w:val="00BE02D3"/>
    <w:rsid w:val="00BE37A8"/>
    <w:rsid w:val="00BE56FE"/>
    <w:rsid w:val="00BE7AB3"/>
    <w:rsid w:val="00BF2334"/>
    <w:rsid w:val="00BF2C75"/>
    <w:rsid w:val="00BF52CB"/>
    <w:rsid w:val="00BF633D"/>
    <w:rsid w:val="00C051BE"/>
    <w:rsid w:val="00C060A1"/>
    <w:rsid w:val="00C07249"/>
    <w:rsid w:val="00C0781D"/>
    <w:rsid w:val="00C26342"/>
    <w:rsid w:val="00C27DC5"/>
    <w:rsid w:val="00C3332A"/>
    <w:rsid w:val="00C36EB0"/>
    <w:rsid w:val="00C43670"/>
    <w:rsid w:val="00C43F91"/>
    <w:rsid w:val="00C45AAF"/>
    <w:rsid w:val="00C4639E"/>
    <w:rsid w:val="00C63996"/>
    <w:rsid w:val="00C66940"/>
    <w:rsid w:val="00C727A2"/>
    <w:rsid w:val="00C83018"/>
    <w:rsid w:val="00C832FE"/>
    <w:rsid w:val="00C90968"/>
    <w:rsid w:val="00CA1446"/>
    <w:rsid w:val="00CB07CD"/>
    <w:rsid w:val="00CB0D5C"/>
    <w:rsid w:val="00CB4E99"/>
    <w:rsid w:val="00CB5787"/>
    <w:rsid w:val="00CC1B1C"/>
    <w:rsid w:val="00CC5907"/>
    <w:rsid w:val="00CD2109"/>
    <w:rsid w:val="00CD55B9"/>
    <w:rsid w:val="00CD640F"/>
    <w:rsid w:val="00CD647E"/>
    <w:rsid w:val="00CE3377"/>
    <w:rsid w:val="00CF0A41"/>
    <w:rsid w:val="00CF199F"/>
    <w:rsid w:val="00CF4261"/>
    <w:rsid w:val="00CF6C72"/>
    <w:rsid w:val="00D065A9"/>
    <w:rsid w:val="00D07D65"/>
    <w:rsid w:val="00D20CB8"/>
    <w:rsid w:val="00D20E1F"/>
    <w:rsid w:val="00D309DD"/>
    <w:rsid w:val="00D3188E"/>
    <w:rsid w:val="00D438A9"/>
    <w:rsid w:val="00D52837"/>
    <w:rsid w:val="00D55867"/>
    <w:rsid w:val="00D56ADA"/>
    <w:rsid w:val="00D60271"/>
    <w:rsid w:val="00D63403"/>
    <w:rsid w:val="00D6486A"/>
    <w:rsid w:val="00D64FBE"/>
    <w:rsid w:val="00D704D5"/>
    <w:rsid w:val="00D70AC5"/>
    <w:rsid w:val="00D7425B"/>
    <w:rsid w:val="00D80F09"/>
    <w:rsid w:val="00D90973"/>
    <w:rsid w:val="00D91CB4"/>
    <w:rsid w:val="00D96780"/>
    <w:rsid w:val="00DB3122"/>
    <w:rsid w:val="00DC206D"/>
    <w:rsid w:val="00DC31A7"/>
    <w:rsid w:val="00DC4DDB"/>
    <w:rsid w:val="00DC50F4"/>
    <w:rsid w:val="00DC5EDB"/>
    <w:rsid w:val="00DD04C6"/>
    <w:rsid w:val="00DD16B7"/>
    <w:rsid w:val="00DD7F5E"/>
    <w:rsid w:val="00DE43D7"/>
    <w:rsid w:val="00DF6764"/>
    <w:rsid w:val="00E10E84"/>
    <w:rsid w:val="00E22542"/>
    <w:rsid w:val="00E24ED7"/>
    <w:rsid w:val="00E262FD"/>
    <w:rsid w:val="00E326D9"/>
    <w:rsid w:val="00E346AF"/>
    <w:rsid w:val="00E35816"/>
    <w:rsid w:val="00E35F24"/>
    <w:rsid w:val="00E37540"/>
    <w:rsid w:val="00E46219"/>
    <w:rsid w:val="00E462D3"/>
    <w:rsid w:val="00E518F0"/>
    <w:rsid w:val="00E574EC"/>
    <w:rsid w:val="00E600D5"/>
    <w:rsid w:val="00E61C7D"/>
    <w:rsid w:val="00E63B2E"/>
    <w:rsid w:val="00E66567"/>
    <w:rsid w:val="00E7588E"/>
    <w:rsid w:val="00E77DE4"/>
    <w:rsid w:val="00E8295E"/>
    <w:rsid w:val="00E84DEE"/>
    <w:rsid w:val="00E90C6C"/>
    <w:rsid w:val="00E91A6E"/>
    <w:rsid w:val="00E95594"/>
    <w:rsid w:val="00E95D87"/>
    <w:rsid w:val="00E96454"/>
    <w:rsid w:val="00EB2421"/>
    <w:rsid w:val="00EB4158"/>
    <w:rsid w:val="00ED1EFC"/>
    <w:rsid w:val="00ED4B3C"/>
    <w:rsid w:val="00ED5B43"/>
    <w:rsid w:val="00EF2FE2"/>
    <w:rsid w:val="00EF4327"/>
    <w:rsid w:val="00EF4D00"/>
    <w:rsid w:val="00EF614F"/>
    <w:rsid w:val="00F0106C"/>
    <w:rsid w:val="00F01383"/>
    <w:rsid w:val="00F013D1"/>
    <w:rsid w:val="00F03ED3"/>
    <w:rsid w:val="00F17D0C"/>
    <w:rsid w:val="00F24CB4"/>
    <w:rsid w:val="00F32624"/>
    <w:rsid w:val="00F36D03"/>
    <w:rsid w:val="00F37AB3"/>
    <w:rsid w:val="00F439D1"/>
    <w:rsid w:val="00F72210"/>
    <w:rsid w:val="00F7359B"/>
    <w:rsid w:val="00F8455B"/>
    <w:rsid w:val="00F85A58"/>
    <w:rsid w:val="00F86E5B"/>
    <w:rsid w:val="00F903BA"/>
    <w:rsid w:val="00F932FF"/>
    <w:rsid w:val="00F94C72"/>
    <w:rsid w:val="00FA65B0"/>
    <w:rsid w:val="00FB4871"/>
    <w:rsid w:val="00FC26E3"/>
    <w:rsid w:val="00FC352E"/>
    <w:rsid w:val="00FC4604"/>
    <w:rsid w:val="00FD1D9E"/>
    <w:rsid w:val="00FD5E2E"/>
    <w:rsid w:val="00FD717B"/>
    <w:rsid w:val="00FE0C20"/>
    <w:rsid w:val="00FE2250"/>
    <w:rsid w:val="00FE473D"/>
    <w:rsid w:val="00FF11B5"/>
    <w:rsid w:val="00FF2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7383B"/>
    <w:rPr>
      <w:color w:val="0000FF"/>
      <w:u w:val="single"/>
    </w:rPr>
  </w:style>
  <w:style w:type="paragraph" w:customStyle="1" w:styleId="a">
    <w:name w:val="شکل"/>
    <w:basedOn w:val="Normal"/>
    <w:autoRedefine/>
    <w:qFormat/>
    <w:rsid w:val="00B908F2"/>
    <w:pPr>
      <w:spacing w:after="0" w:line="480" w:lineRule="auto"/>
    </w:pPr>
    <w:rPr>
      <w:rFonts w:ascii="Times New Roman" w:eastAsia="Times New Roman" w:hAnsi="Times New Roman" w:cs="B Zar"/>
      <w:sz w:val="24"/>
      <w:szCs w:val="24"/>
      <w:lang w:bidi="fa-IR"/>
    </w:rPr>
  </w:style>
  <w:style w:type="paragraph" w:customStyle="1" w:styleId="a0">
    <w:name w:val="متن"/>
    <w:basedOn w:val="Normal"/>
    <w:qFormat/>
    <w:rsid w:val="0067383B"/>
    <w:pPr>
      <w:spacing w:after="0" w:line="510" w:lineRule="exact"/>
      <w:ind w:firstLine="284"/>
      <w:jc w:val="both"/>
    </w:pPr>
    <w:rPr>
      <w:rFonts w:ascii="Times New Roman" w:eastAsia="2  Zar" w:hAnsi="Times New Roman" w:cs="B Zar"/>
      <w:sz w:val="24"/>
      <w:szCs w:val="26"/>
    </w:rPr>
  </w:style>
  <w:style w:type="paragraph" w:styleId="Header">
    <w:name w:val="header"/>
    <w:basedOn w:val="Normal"/>
    <w:link w:val="HeaderChar"/>
    <w:uiPriority w:val="99"/>
    <w:unhideWhenUsed/>
    <w:rsid w:val="001D3939"/>
    <w:pPr>
      <w:tabs>
        <w:tab w:val="center" w:pos="4680"/>
        <w:tab w:val="right" w:pos="9360"/>
      </w:tabs>
    </w:pPr>
    <w:rPr>
      <w:rFonts w:cs="Times New Roman"/>
    </w:rPr>
  </w:style>
  <w:style w:type="character" w:customStyle="1" w:styleId="HeaderChar">
    <w:name w:val="Header Char"/>
    <w:link w:val="Header"/>
    <w:uiPriority w:val="99"/>
    <w:rsid w:val="001D3939"/>
    <w:rPr>
      <w:sz w:val="22"/>
      <w:szCs w:val="22"/>
    </w:rPr>
  </w:style>
  <w:style w:type="paragraph" w:styleId="Footer">
    <w:name w:val="footer"/>
    <w:basedOn w:val="Normal"/>
    <w:link w:val="FooterChar"/>
    <w:uiPriority w:val="99"/>
    <w:unhideWhenUsed/>
    <w:rsid w:val="00114045"/>
    <w:pPr>
      <w:pBdr>
        <w:top w:val="thinThickSmallGap" w:sz="24" w:space="1" w:color="622423" w:themeColor="accent2" w:themeShade="7F"/>
      </w:pBdr>
      <w:tabs>
        <w:tab w:val="center" w:pos="4680"/>
        <w:tab w:val="right" w:pos="9360"/>
      </w:tabs>
    </w:pPr>
    <w:rPr>
      <w:rFonts w:asciiTheme="majorHAnsi" w:hAnsiTheme="majorHAnsi" w:cs="Times New Roman"/>
    </w:rPr>
  </w:style>
  <w:style w:type="character" w:customStyle="1" w:styleId="FooterChar">
    <w:name w:val="Footer Char"/>
    <w:link w:val="Footer"/>
    <w:uiPriority w:val="99"/>
    <w:rsid w:val="00114045"/>
    <w:rPr>
      <w:rFonts w:asciiTheme="majorHAnsi" w:hAnsiTheme="majorHAnsi" w:cs="Times New Roman"/>
      <w:sz w:val="22"/>
      <w:szCs w:val="22"/>
    </w:rPr>
  </w:style>
  <w:style w:type="paragraph" w:customStyle="1" w:styleId="a1">
    <w:name w:val="جداول"/>
    <w:basedOn w:val="Normal"/>
    <w:qFormat/>
    <w:rsid w:val="00492AE9"/>
    <w:pPr>
      <w:bidi/>
      <w:spacing w:after="0" w:line="510" w:lineRule="exact"/>
    </w:pPr>
    <w:rPr>
      <w:rFonts w:ascii="Times New Roman" w:eastAsia="Times New Roman" w:hAnsi="Times New Roman" w:cs="B Zar"/>
      <w:sz w:val="18"/>
      <w:lang w:bidi="fa-IR"/>
    </w:rPr>
  </w:style>
  <w:style w:type="paragraph" w:customStyle="1" w:styleId="1-1-1">
    <w:name w:val="1-1-1"/>
    <w:basedOn w:val="Normal"/>
    <w:qFormat/>
    <w:rsid w:val="00492AE9"/>
    <w:pPr>
      <w:keepNext/>
      <w:keepLines/>
      <w:widowControl w:val="0"/>
      <w:suppressAutoHyphens/>
      <w:bidi/>
      <w:spacing w:before="100" w:beforeAutospacing="1" w:after="100" w:afterAutospacing="1" w:line="510" w:lineRule="exact"/>
      <w:ind w:left="680"/>
    </w:pPr>
    <w:rPr>
      <w:rFonts w:ascii="Times New Roman" w:eastAsia="Times New Roman" w:hAnsi="Times New Roman" w:cs="B Zar"/>
      <w:b/>
      <w:bCs/>
      <w:sz w:val="20"/>
      <w:lang w:bidi="fa-IR"/>
    </w:rPr>
  </w:style>
  <w:style w:type="paragraph" w:styleId="BalloonText">
    <w:name w:val="Balloon Text"/>
    <w:basedOn w:val="Normal"/>
    <w:link w:val="BalloonTextChar"/>
    <w:uiPriority w:val="99"/>
    <w:semiHidden/>
    <w:unhideWhenUsed/>
    <w:rsid w:val="002A63A5"/>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2A63A5"/>
    <w:rPr>
      <w:rFonts w:ascii="Tahoma" w:hAnsi="Tahoma" w:cs="Tahoma"/>
      <w:sz w:val="16"/>
      <w:szCs w:val="16"/>
    </w:rPr>
  </w:style>
  <w:style w:type="table" w:styleId="TableGrid">
    <w:name w:val="Table Grid"/>
    <w:basedOn w:val="TableNormal"/>
    <w:uiPriority w:val="59"/>
    <w:rsid w:val="006D5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
    <w:name w:val="citation"/>
    <w:basedOn w:val="DefaultParagraphFont"/>
    <w:rsid w:val="00CC5907"/>
  </w:style>
  <w:style w:type="character" w:customStyle="1" w:styleId="smalllinks">
    <w:name w:val="smalllinks"/>
    <w:basedOn w:val="DefaultParagraphFont"/>
    <w:rsid w:val="004B3541"/>
  </w:style>
  <w:style w:type="character" w:customStyle="1" w:styleId="polymers-small">
    <w:name w:val="polymers-small"/>
    <w:basedOn w:val="DefaultParagraphFont"/>
    <w:rsid w:val="004B3541"/>
  </w:style>
  <w:style w:type="character" w:customStyle="1" w:styleId="ligands-small">
    <w:name w:val="ligands-small"/>
    <w:basedOn w:val="DefaultParagraphFont"/>
    <w:rsid w:val="004B3541"/>
  </w:style>
  <w:style w:type="character" w:customStyle="1" w:styleId="sejournal">
    <w:name w:val="se_journal"/>
    <w:basedOn w:val="DefaultParagraphFont"/>
    <w:rsid w:val="004B3541"/>
  </w:style>
  <w:style w:type="character" w:customStyle="1" w:styleId="abstract-small">
    <w:name w:val="abstract-small"/>
    <w:basedOn w:val="DefaultParagraphFont"/>
    <w:rsid w:val="004B3541"/>
  </w:style>
  <w:style w:type="paragraph" w:customStyle="1" w:styleId="authors">
    <w:name w:val="authors"/>
    <w:basedOn w:val="Normal"/>
    <w:rsid w:val="00A833B8"/>
    <w:pPr>
      <w:spacing w:after="240" w:line="240" w:lineRule="auto"/>
      <w:jc w:val="center"/>
    </w:pPr>
    <w:rPr>
      <w:rFonts w:ascii="Times New Roman" w:eastAsia="Times New Roman" w:hAnsi="Times New Roman" w:cs="Times New Roman"/>
      <w:szCs w:val="20"/>
      <w:lang w:val="en-GB" w:eastAsia="fr-FR"/>
    </w:rPr>
  </w:style>
  <w:style w:type="paragraph" w:customStyle="1" w:styleId="address">
    <w:name w:val="address"/>
    <w:basedOn w:val="Normal"/>
    <w:rsid w:val="00A833B8"/>
    <w:pPr>
      <w:spacing w:after="0" w:line="240" w:lineRule="auto"/>
      <w:jc w:val="center"/>
    </w:pPr>
    <w:rPr>
      <w:rFonts w:ascii="Times New Roman" w:eastAsia="Times New Roman" w:hAnsi="Times New Roman" w:cs="Times New Roman"/>
      <w:i/>
      <w:sz w:val="20"/>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7383B"/>
    <w:rPr>
      <w:color w:val="0000FF"/>
      <w:u w:val="single"/>
    </w:rPr>
  </w:style>
  <w:style w:type="paragraph" w:customStyle="1" w:styleId="a">
    <w:name w:val="شکل"/>
    <w:basedOn w:val="Normal"/>
    <w:autoRedefine/>
    <w:qFormat/>
    <w:rsid w:val="00B908F2"/>
    <w:pPr>
      <w:spacing w:after="0" w:line="480" w:lineRule="auto"/>
    </w:pPr>
    <w:rPr>
      <w:rFonts w:ascii="Times New Roman" w:eastAsia="Times New Roman" w:hAnsi="Times New Roman" w:cs="B Zar"/>
      <w:sz w:val="24"/>
      <w:szCs w:val="24"/>
      <w:lang w:bidi="fa-IR"/>
    </w:rPr>
  </w:style>
  <w:style w:type="paragraph" w:customStyle="1" w:styleId="a0">
    <w:name w:val="متن"/>
    <w:basedOn w:val="Normal"/>
    <w:qFormat/>
    <w:rsid w:val="0067383B"/>
    <w:pPr>
      <w:spacing w:after="0" w:line="510" w:lineRule="exact"/>
      <w:ind w:firstLine="284"/>
      <w:jc w:val="both"/>
    </w:pPr>
    <w:rPr>
      <w:rFonts w:ascii="Times New Roman" w:eastAsia="2  Zar" w:hAnsi="Times New Roman" w:cs="B Zar"/>
      <w:sz w:val="24"/>
      <w:szCs w:val="26"/>
    </w:rPr>
  </w:style>
  <w:style w:type="paragraph" w:styleId="Header">
    <w:name w:val="header"/>
    <w:basedOn w:val="Normal"/>
    <w:link w:val="HeaderChar"/>
    <w:uiPriority w:val="99"/>
    <w:unhideWhenUsed/>
    <w:rsid w:val="001D3939"/>
    <w:pPr>
      <w:tabs>
        <w:tab w:val="center" w:pos="4680"/>
        <w:tab w:val="right" w:pos="9360"/>
      </w:tabs>
    </w:pPr>
    <w:rPr>
      <w:rFonts w:cs="Times New Roman"/>
    </w:rPr>
  </w:style>
  <w:style w:type="character" w:customStyle="1" w:styleId="HeaderChar">
    <w:name w:val="Header Char"/>
    <w:link w:val="Header"/>
    <w:uiPriority w:val="99"/>
    <w:rsid w:val="001D3939"/>
    <w:rPr>
      <w:sz w:val="22"/>
      <w:szCs w:val="22"/>
    </w:rPr>
  </w:style>
  <w:style w:type="paragraph" w:styleId="Footer">
    <w:name w:val="footer"/>
    <w:basedOn w:val="Normal"/>
    <w:link w:val="FooterChar"/>
    <w:uiPriority w:val="99"/>
    <w:unhideWhenUsed/>
    <w:rsid w:val="00114045"/>
    <w:pPr>
      <w:pBdr>
        <w:top w:val="thinThickSmallGap" w:sz="24" w:space="1" w:color="622423" w:themeColor="accent2" w:themeShade="7F"/>
      </w:pBdr>
      <w:tabs>
        <w:tab w:val="center" w:pos="4680"/>
        <w:tab w:val="right" w:pos="9360"/>
      </w:tabs>
    </w:pPr>
    <w:rPr>
      <w:rFonts w:asciiTheme="majorHAnsi" w:hAnsiTheme="majorHAnsi" w:cs="Times New Roman"/>
    </w:rPr>
  </w:style>
  <w:style w:type="character" w:customStyle="1" w:styleId="FooterChar">
    <w:name w:val="Footer Char"/>
    <w:link w:val="Footer"/>
    <w:uiPriority w:val="99"/>
    <w:rsid w:val="00114045"/>
    <w:rPr>
      <w:rFonts w:asciiTheme="majorHAnsi" w:hAnsiTheme="majorHAnsi" w:cs="Times New Roman"/>
      <w:sz w:val="22"/>
      <w:szCs w:val="22"/>
    </w:rPr>
  </w:style>
  <w:style w:type="paragraph" w:customStyle="1" w:styleId="a1">
    <w:name w:val="جداول"/>
    <w:basedOn w:val="Normal"/>
    <w:qFormat/>
    <w:rsid w:val="00492AE9"/>
    <w:pPr>
      <w:bidi/>
      <w:spacing w:after="0" w:line="510" w:lineRule="exact"/>
    </w:pPr>
    <w:rPr>
      <w:rFonts w:ascii="Times New Roman" w:eastAsia="Times New Roman" w:hAnsi="Times New Roman" w:cs="B Zar"/>
      <w:sz w:val="18"/>
      <w:lang w:bidi="fa-IR"/>
    </w:rPr>
  </w:style>
  <w:style w:type="paragraph" w:customStyle="1" w:styleId="1-1-1">
    <w:name w:val="1-1-1"/>
    <w:basedOn w:val="Normal"/>
    <w:qFormat/>
    <w:rsid w:val="00492AE9"/>
    <w:pPr>
      <w:keepNext/>
      <w:keepLines/>
      <w:widowControl w:val="0"/>
      <w:suppressAutoHyphens/>
      <w:bidi/>
      <w:spacing w:before="100" w:beforeAutospacing="1" w:after="100" w:afterAutospacing="1" w:line="510" w:lineRule="exact"/>
      <w:ind w:left="680"/>
    </w:pPr>
    <w:rPr>
      <w:rFonts w:ascii="Times New Roman" w:eastAsia="Times New Roman" w:hAnsi="Times New Roman" w:cs="B Zar"/>
      <w:b/>
      <w:bCs/>
      <w:sz w:val="20"/>
      <w:lang w:bidi="fa-IR"/>
    </w:rPr>
  </w:style>
  <w:style w:type="paragraph" w:styleId="BalloonText">
    <w:name w:val="Balloon Text"/>
    <w:basedOn w:val="Normal"/>
    <w:link w:val="BalloonTextChar"/>
    <w:uiPriority w:val="99"/>
    <w:semiHidden/>
    <w:unhideWhenUsed/>
    <w:rsid w:val="002A63A5"/>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2A63A5"/>
    <w:rPr>
      <w:rFonts w:ascii="Tahoma" w:hAnsi="Tahoma" w:cs="Tahoma"/>
      <w:sz w:val="16"/>
      <w:szCs w:val="16"/>
    </w:rPr>
  </w:style>
  <w:style w:type="table" w:styleId="TableGrid">
    <w:name w:val="Table Grid"/>
    <w:basedOn w:val="TableNormal"/>
    <w:uiPriority w:val="59"/>
    <w:rsid w:val="006D5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
    <w:name w:val="citation"/>
    <w:basedOn w:val="DefaultParagraphFont"/>
    <w:rsid w:val="00CC5907"/>
  </w:style>
  <w:style w:type="character" w:customStyle="1" w:styleId="smalllinks">
    <w:name w:val="smalllinks"/>
    <w:basedOn w:val="DefaultParagraphFont"/>
    <w:rsid w:val="004B3541"/>
  </w:style>
  <w:style w:type="character" w:customStyle="1" w:styleId="polymers-small">
    <w:name w:val="polymers-small"/>
    <w:basedOn w:val="DefaultParagraphFont"/>
    <w:rsid w:val="004B3541"/>
  </w:style>
  <w:style w:type="character" w:customStyle="1" w:styleId="ligands-small">
    <w:name w:val="ligands-small"/>
    <w:basedOn w:val="DefaultParagraphFont"/>
    <w:rsid w:val="004B3541"/>
  </w:style>
  <w:style w:type="character" w:customStyle="1" w:styleId="sejournal">
    <w:name w:val="se_journal"/>
    <w:basedOn w:val="DefaultParagraphFont"/>
    <w:rsid w:val="004B3541"/>
  </w:style>
  <w:style w:type="character" w:customStyle="1" w:styleId="abstract-small">
    <w:name w:val="abstract-small"/>
    <w:basedOn w:val="DefaultParagraphFont"/>
    <w:rsid w:val="004B3541"/>
  </w:style>
  <w:style w:type="paragraph" w:customStyle="1" w:styleId="authors">
    <w:name w:val="authors"/>
    <w:basedOn w:val="Normal"/>
    <w:rsid w:val="00A833B8"/>
    <w:pPr>
      <w:spacing w:after="240" w:line="240" w:lineRule="auto"/>
      <w:jc w:val="center"/>
    </w:pPr>
    <w:rPr>
      <w:rFonts w:ascii="Times New Roman" w:eastAsia="Times New Roman" w:hAnsi="Times New Roman" w:cs="Times New Roman"/>
      <w:szCs w:val="20"/>
      <w:lang w:val="en-GB" w:eastAsia="fr-FR"/>
    </w:rPr>
  </w:style>
  <w:style w:type="paragraph" w:customStyle="1" w:styleId="address">
    <w:name w:val="address"/>
    <w:basedOn w:val="Normal"/>
    <w:rsid w:val="00A833B8"/>
    <w:pPr>
      <w:spacing w:after="0" w:line="240" w:lineRule="auto"/>
      <w:jc w:val="center"/>
    </w:pPr>
    <w:rPr>
      <w:rFonts w:ascii="Times New Roman" w:eastAsia="Times New Roman" w:hAnsi="Times New Roman" w:cs="Times New Roman"/>
      <w:i/>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ut.ac.i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C0C93-2414-4498-9844-B2C05116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ARIYAN CO.</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gharaghani</cp:lastModifiedBy>
  <cp:revision>7</cp:revision>
  <cp:lastPrinted>2013-11-19T18:51:00Z</cp:lastPrinted>
  <dcterms:created xsi:type="dcterms:W3CDTF">2015-08-16T12:02:00Z</dcterms:created>
  <dcterms:modified xsi:type="dcterms:W3CDTF">2015-08-16T12:31:00Z</dcterms:modified>
</cp:coreProperties>
</file>